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61" w:rsidRPr="00634861" w:rsidRDefault="0063486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34861" w:rsidRDefault="0063486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634861" w:rsidRDefault="0063486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634861" w:rsidRPr="00634861" w:rsidRDefault="00634861" w:rsidP="006348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634861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Додаток </w:t>
      </w:r>
    </w:p>
    <w:p w:rsidR="00634861" w:rsidRDefault="00634861" w:rsidP="006348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</w:t>
      </w:r>
      <w:r w:rsidRPr="00634861">
        <w:rPr>
          <w:rFonts w:ascii="Times New Roman" w:hAnsi="Times New Roman" w:cs="Times New Roman"/>
          <w:sz w:val="20"/>
          <w:szCs w:val="20"/>
          <w:lang w:val="uk-UA"/>
        </w:rPr>
        <w:t xml:space="preserve">о рішення виконавчого комітету </w:t>
      </w:r>
    </w:p>
    <w:p w:rsidR="00634861" w:rsidRPr="00634861" w:rsidRDefault="00634861" w:rsidP="006348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634861">
        <w:rPr>
          <w:rFonts w:ascii="Times New Roman" w:hAnsi="Times New Roman" w:cs="Times New Roman"/>
          <w:sz w:val="20"/>
          <w:szCs w:val="20"/>
          <w:lang w:val="uk-UA"/>
        </w:rPr>
        <w:t>Іллічівської міської ради</w:t>
      </w:r>
    </w:p>
    <w:p w:rsidR="00634861" w:rsidRPr="00634861" w:rsidRDefault="00634861" w:rsidP="006348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634861">
        <w:rPr>
          <w:rFonts w:ascii="Times New Roman" w:hAnsi="Times New Roman" w:cs="Times New Roman"/>
          <w:sz w:val="20"/>
          <w:szCs w:val="20"/>
          <w:lang w:val="uk-UA"/>
        </w:rPr>
        <w:t>від _________20__року № _____</w:t>
      </w:r>
    </w:p>
    <w:p w:rsidR="00634861" w:rsidRPr="00E33E86" w:rsidRDefault="0063486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34861" w:rsidRPr="00E33E86" w:rsidRDefault="0063486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  <w:sectPr w:rsidR="00634861" w:rsidRPr="00E33E86" w:rsidSect="00634861">
          <w:pgSz w:w="11906" w:h="16838" w:code="9"/>
          <w:pgMar w:top="284" w:right="424" w:bottom="284" w:left="1134" w:header="709" w:footer="709" w:gutter="0"/>
          <w:cols w:num="2" w:space="708"/>
          <w:docGrid w:linePitch="360"/>
        </w:sectPr>
      </w:pPr>
    </w:p>
    <w:p w:rsidR="00442A91" w:rsidRPr="00F43D4E" w:rsidRDefault="00442A91" w:rsidP="00442A91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43D4E">
        <w:rPr>
          <w:rFonts w:ascii="Times New Roman" w:hAnsi="Times New Roman" w:cs="Times New Roman"/>
          <w:sz w:val="24"/>
          <w:szCs w:val="24"/>
          <w:u w:val="single"/>
          <w:lang w:val="uk-UA"/>
        </w:rPr>
        <w:lastRenderedPageBreak/>
        <w:t>ЗАХОДИ</w:t>
      </w:r>
    </w:p>
    <w:p w:rsidR="00442A91" w:rsidRDefault="00740DAA" w:rsidP="00442A9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43D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73A0">
        <w:rPr>
          <w:rFonts w:ascii="Times New Roman" w:hAnsi="Times New Roman" w:cs="Times New Roman"/>
          <w:sz w:val="24"/>
          <w:szCs w:val="24"/>
          <w:lang w:val="uk-UA"/>
        </w:rPr>
        <w:t>реконструкції абонентських вводів системи опалення житлових будинків з встановленням будинкових приладів обліку теплової енергії</w:t>
      </w:r>
      <w:r w:rsidR="00FF3CD3" w:rsidRPr="00E33E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F3CD3" w:rsidRDefault="00FF3CD3" w:rsidP="008B1262">
      <w:pPr>
        <w:ind w:right="425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11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Мета заходів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 – забезпечити ефективне використання паливно-енергетичних ресурсів у  сфері теплопостачання та надання комунальних послуг, скорочення  витрат на використання енергоресурсів, удосконалення системи </w:t>
      </w:r>
      <w:proofErr w:type="spellStart"/>
      <w:r w:rsidRPr="00FF3CD3">
        <w:rPr>
          <w:rFonts w:ascii="Times New Roman" w:hAnsi="Times New Roman" w:cs="Times New Roman"/>
          <w:sz w:val="24"/>
          <w:szCs w:val="24"/>
          <w:lang w:val="uk-UA"/>
        </w:rPr>
        <w:t>енергоу</w:t>
      </w:r>
      <w:r w:rsidR="00D4079E">
        <w:rPr>
          <w:rFonts w:ascii="Times New Roman" w:hAnsi="Times New Roman" w:cs="Times New Roman"/>
          <w:sz w:val="24"/>
          <w:szCs w:val="24"/>
          <w:lang w:val="uk-UA"/>
        </w:rPr>
        <w:t>правління</w:t>
      </w:r>
      <w:proofErr w:type="spellEnd"/>
      <w:r w:rsidRPr="00FF3CD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079E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обліку енергетичних ресурсів та обсягів реалізації послуг, оптимізації технологічних витрат та втрат теплової енергії,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культури енергоспоживання.</w:t>
      </w:r>
    </w:p>
    <w:p w:rsidR="00FF3CD3" w:rsidRPr="00FF3CD3" w:rsidRDefault="00FF3CD3" w:rsidP="008B1262">
      <w:pPr>
        <w:spacing w:line="340" w:lineRule="exact"/>
        <w:ind w:right="425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3CD3">
        <w:rPr>
          <w:rFonts w:ascii="Times New Roman" w:hAnsi="Times New Roman" w:cs="Times New Roman"/>
          <w:sz w:val="24"/>
          <w:szCs w:val="24"/>
          <w:lang w:val="uk-UA"/>
        </w:rPr>
        <w:t>Виконання заходів</w:t>
      </w:r>
      <w:r w:rsidR="0063486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передбачених</w:t>
      </w:r>
      <w:r w:rsidR="00E33E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 з енергозбереження та </w:t>
      </w:r>
      <w:proofErr w:type="spellStart"/>
      <w:r w:rsidRPr="00FF3CD3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E8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33E86">
        <w:rPr>
          <w:rFonts w:ascii="Times New Roman" w:hAnsi="Times New Roman" w:cs="Times New Roman"/>
          <w:sz w:val="24"/>
          <w:szCs w:val="24"/>
          <w:lang w:val="uk-UA"/>
        </w:rPr>
        <w:t>. Іллічівська на 2015-2018 рр.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затвердженої рішенням Іллічівської міської ради 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D407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79E" w:rsidRPr="00FF3CD3">
        <w:rPr>
          <w:rFonts w:ascii="Times New Roman" w:hAnsi="Times New Roman" w:cs="Times New Roman"/>
          <w:sz w:val="24"/>
          <w:szCs w:val="24"/>
          <w:lang w:val="uk-UA"/>
        </w:rPr>
        <w:t>21.08.2015 року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DAA" w:rsidRPr="00FF3CD3">
        <w:rPr>
          <w:rFonts w:ascii="Times New Roman" w:hAnsi="Times New Roman" w:cs="Times New Roman"/>
          <w:sz w:val="24"/>
          <w:szCs w:val="24"/>
          <w:lang w:val="uk-UA"/>
        </w:rPr>
        <w:t>№664-VI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>, по реконструкції абонентських вводів системи опалення житлових будинків з встановленням будинкових приладів обліку теплової енергії спрямоване на забезпечення реалізації в місті державної політики у сфері енергозбереження, вдосконалення міської системи управління енергозбереженням, спрямованої на підвищення ефективності використання паливно-енергетичних ресурсів у бюджетній та комунальній сферах, формування в населення міста</w:t>
      </w:r>
      <w:r w:rsidR="00DE3D80">
        <w:rPr>
          <w:rFonts w:ascii="Times New Roman" w:hAnsi="Times New Roman" w:cs="Times New Roman"/>
          <w:sz w:val="24"/>
          <w:szCs w:val="24"/>
          <w:lang w:val="uk-UA"/>
        </w:rPr>
        <w:t xml:space="preserve"> Іллічівська</w:t>
      </w:r>
      <w:r w:rsidRPr="00FF3CD3">
        <w:rPr>
          <w:rFonts w:ascii="Times New Roman" w:hAnsi="Times New Roman" w:cs="Times New Roman"/>
          <w:sz w:val="24"/>
          <w:szCs w:val="24"/>
          <w:lang w:val="uk-UA"/>
        </w:rPr>
        <w:t xml:space="preserve"> світогляду, орієнтованого на енергозбереження, отримання енергозберігаючого, соціального та економічного ефекту.</w:t>
      </w:r>
    </w:p>
    <w:tbl>
      <w:tblPr>
        <w:tblStyle w:val="a4"/>
        <w:tblW w:w="0" w:type="auto"/>
        <w:tblInd w:w="108" w:type="dxa"/>
        <w:tblLook w:val="04A0"/>
      </w:tblPr>
      <w:tblGrid>
        <w:gridCol w:w="761"/>
        <w:gridCol w:w="4338"/>
        <w:gridCol w:w="4897"/>
      </w:tblGrid>
      <w:tr w:rsidR="00BC0676" w:rsidTr="008B1262">
        <w:trPr>
          <w:trHeight w:val="831"/>
        </w:trPr>
        <w:tc>
          <w:tcPr>
            <w:tcW w:w="730" w:type="dxa"/>
            <w:tcBorders>
              <w:right w:val="single" w:sz="4" w:space="0" w:color="auto"/>
            </w:tcBorders>
          </w:tcPr>
          <w:p w:rsidR="00BC0676" w:rsidRDefault="00442A91" w:rsidP="008B1262">
            <w:pPr>
              <w:ind w:right="4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38" w:type="dxa"/>
            <w:tcBorders>
              <w:left w:val="single" w:sz="4" w:space="0" w:color="auto"/>
            </w:tcBorders>
          </w:tcPr>
          <w:p w:rsidR="00BC0676" w:rsidRDefault="00BC0676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</w:t>
            </w:r>
          </w:p>
        </w:tc>
        <w:tc>
          <w:tcPr>
            <w:tcW w:w="4897" w:type="dxa"/>
          </w:tcPr>
          <w:p w:rsidR="00BC0676" w:rsidRDefault="00BC0676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учасники: Іллічівськ</w:t>
            </w:r>
            <w:r w:rsidR="00255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 w:rsidR="00255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«ІТЕ», громад</w:t>
            </w:r>
            <w:r w:rsidR="005811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811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інші інвестори,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виконавці</w:t>
            </w:r>
          </w:p>
        </w:tc>
      </w:tr>
      <w:tr w:rsidR="00BC0676" w:rsidTr="008B1262">
        <w:trPr>
          <w:trHeight w:val="280"/>
        </w:trPr>
        <w:tc>
          <w:tcPr>
            <w:tcW w:w="730" w:type="dxa"/>
            <w:tcBorders>
              <w:right w:val="single" w:sz="4" w:space="0" w:color="auto"/>
            </w:tcBorders>
          </w:tcPr>
          <w:p w:rsidR="00BC0676" w:rsidRDefault="00442A91" w:rsidP="008B1262">
            <w:pPr>
              <w:ind w:right="4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38" w:type="dxa"/>
            <w:tcBorders>
              <w:left w:val="single" w:sz="4" w:space="0" w:color="auto"/>
            </w:tcBorders>
          </w:tcPr>
          <w:p w:rsidR="00BC0676" w:rsidRDefault="00BC0676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</w:t>
            </w:r>
          </w:p>
        </w:tc>
        <w:tc>
          <w:tcPr>
            <w:tcW w:w="4897" w:type="dxa"/>
          </w:tcPr>
          <w:p w:rsidR="00BC0676" w:rsidRPr="00E55CAF" w:rsidRDefault="00BC0676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201</w:t>
            </w:r>
            <w:r w:rsidR="005811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до </w:t>
            </w:r>
            <w:r w:rsidR="00E55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завершення</w:t>
            </w:r>
          </w:p>
        </w:tc>
      </w:tr>
      <w:tr w:rsidR="001661C0" w:rsidTr="008B1262">
        <w:trPr>
          <w:trHeight w:val="280"/>
        </w:trPr>
        <w:tc>
          <w:tcPr>
            <w:tcW w:w="730" w:type="dxa"/>
            <w:vMerge w:val="restart"/>
            <w:tcBorders>
              <w:right w:val="single" w:sz="4" w:space="0" w:color="auto"/>
            </w:tcBorders>
          </w:tcPr>
          <w:p w:rsidR="001661C0" w:rsidRDefault="001661C0" w:rsidP="008B1262">
            <w:pPr>
              <w:ind w:right="4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38" w:type="dxa"/>
            <w:vMerge w:val="restart"/>
            <w:tcBorders>
              <w:left w:val="single" w:sz="4" w:space="0" w:color="auto"/>
            </w:tcBorders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 заходів:</w:t>
            </w:r>
          </w:p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97" w:type="dxa"/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</w:tr>
      <w:tr w:rsidR="001661C0" w:rsidTr="008B1262">
        <w:trPr>
          <w:trHeight w:val="145"/>
        </w:trPr>
        <w:tc>
          <w:tcPr>
            <w:tcW w:w="730" w:type="dxa"/>
            <w:vMerge/>
            <w:tcBorders>
              <w:right w:val="single" w:sz="4" w:space="0" w:color="auto"/>
            </w:tcBorders>
          </w:tcPr>
          <w:p w:rsidR="001661C0" w:rsidRDefault="001661C0" w:rsidP="008B1262">
            <w:pPr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38" w:type="dxa"/>
            <w:vMerge/>
            <w:tcBorders>
              <w:left w:val="single" w:sz="4" w:space="0" w:color="auto"/>
            </w:tcBorders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97" w:type="dxa"/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Внески громадян (не менш</w:t>
            </w:r>
            <w:r w:rsidR="005811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50%)</w:t>
            </w:r>
          </w:p>
        </w:tc>
      </w:tr>
      <w:tr w:rsidR="001661C0" w:rsidTr="008B1262">
        <w:trPr>
          <w:trHeight w:val="145"/>
        </w:trPr>
        <w:tc>
          <w:tcPr>
            <w:tcW w:w="730" w:type="dxa"/>
            <w:vMerge/>
            <w:tcBorders>
              <w:right w:val="single" w:sz="4" w:space="0" w:color="auto"/>
            </w:tcBorders>
          </w:tcPr>
          <w:p w:rsidR="001661C0" w:rsidRDefault="001661C0" w:rsidP="008B1262">
            <w:pPr>
              <w:ind w:right="425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38" w:type="dxa"/>
            <w:vMerge/>
            <w:tcBorders>
              <w:left w:val="single" w:sz="4" w:space="0" w:color="auto"/>
            </w:tcBorders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97" w:type="dxa"/>
          </w:tcPr>
          <w:p w:rsidR="001661C0" w:rsidRDefault="001661C0" w:rsidP="008B1262">
            <w:pPr>
              <w:ind w:right="42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джерела, не заборонені законодавством України</w:t>
            </w:r>
          </w:p>
        </w:tc>
      </w:tr>
    </w:tbl>
    <w:p w:rsidR="00DE3D80" w:rsidRPr="00581156" w:rsidRDefault="001661C0" w:rsidP="008B1262">
      <w:pPr>
        <w:pStyle w:val="a3"/>
        <w:ind w:right="425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811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Порядок реалізації заходів:</w:t>
      </w:r>
    </w:p>
    <w:p w:rsidR="002A2ABE" w:rsidRDefault="002A2ABE" w:rsidP="008B1262">
      <w:pPr>
        <w:pStyle w:val="a3"/>
        <w:ind w:right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0DAA" w:rsidRDefault="00E33E86" w:rsidP="008B1262">
      <w:pPr>
        <w:pStyle w:val="a3"/>
        <w:numPr>
          <w:ilvl w:val="0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«Іллічівськтеплоенерго</w:t>
      </w:r>
      <w:r w:rsidR="00943DF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«ІТЕ»)</w:t>
      </w:r>
      <w:r w:rsidR="00943D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79E">
        <w:rPr>
          <w:rFonts w:ascii="Times New Roman" w:hAnsi="Times New Roman" w:cs="Times New Roman"/>
          <w:sz w:val="24"/>
          <w:szCs w:val="24"/>
          <w:lang w:val="uk-UA"/>
        </w:rPr>
        <w:t>(Паншин А.В.)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43DF0" w:rsidRDefault="00D4079E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DA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43DF0" w:rsidRPr="00740DAA">
        <w:rPr>
          <w:rFonts w:ascii="Times New Roman" w:hAnsi="Times New Roman" w:cs="Times New Roman"/>
          <w:sz w:val="24"/>
          <w:szCs w:val="24"/>
          <w:lang w:val="uk-UA"/>
        </w:rPr>
        <w:t>класти перелік будинків</w:t>
      </w:r>
      <w:r w:rsidR="002F0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43DF0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502A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>знаходяться</w:t>
      </w:r>
      <w:r w:rsidR="0098502A">
        <w:rPr>
          <w:rFonts w:ascii="Times New Roman" w:hAnsi="Times New Roman" w:cs="Times New Roman"/>
          <w:sz w:val="24"/>
          <w:szCs w:val="24"/>
          <w:lang w:val="uk-UA"/>
        </w:rPr>
        <w:t xml:space="preserve"> на балансі </w:t>
      </w:r>
      <w:r w:rsidR="00C22136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«Міське управління житлово-комунального господарства»</w:t>
      </w:r>
      <w:r w:rsidR="002F0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8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>з метою</w:t>
      </w:r>
      <w:r w:rsidR="00943DF0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реконструкції абонентських вводів системи опалення житлових будинків </w:t>
      </w:r>
      <w:r w:rsidR="007A1E6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43DF0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</w:t>
      </w:r>
      <w:r w:rsidR="007A1E6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43DF0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будинкових приладів обліку теплової енергії</w:t>
      </w:r>
      <w:r w:rsidR="00C07D55" w:rsidRPr="00740DA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8502A" w:rsidRDefault="0098502A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E69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першочергове виконання 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реконструкції абонентських вводів системи опалення житлових будинків 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будинкових приладів обліку теплової енергії</w:t>
      </w:r>
      <w:r w:rsidR="007A1E69">
        <w:rPr>
          <w:rFonts w:ascii="Times New Roman" w:hAnsi="Times New Roman" w:cs="Times New Roman"/>
          <w:sz w:val="24"/>
          <w:szCs w:val="24"/>
          <w:lang w:val="uk-UA"/>
        </w:rPr>
        <w:t xml:space="preserve"> в житлових будинках, що:</w:t>
      </w:r>
    </w:p>
    <w:p w:rsidR="007A1E69" w:rsidRDefault="007A1E69" w:rsidP="008B1262">
      <w:pPr>
        <w:pStyle w:val="a3"/>
        <w:numPr>
          <w:ilvl w:val="2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Перерахували кошти до цільового фонду соціально-економічного та культурного розвитку міста  Іллічівська;</w:t>
      </w:r>
    </w:p>
    <w:p w:rsidR="007A1E69" w:rsidRDefault="007A1E69" w:rsidP="008B1262">
      <w:pPr>
        <w:pStyle w:val="a3"/>
        <w:numPr>
          <w:ilvl w:val="2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Мають меншу заборгованість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 xml:space="preserve"> за послуги з централізованого опалення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1 м²</w:t>
      </w:r>
      <w:r w:rsidR="003A2762">
        <w:rPr>
          <w:rFonts w:ascii="Times New Roman" w:hAnsi="Times New Roman" w:cs="Times New Roman"/>
          <w:sz w:val="24"/>
          <w:szCs w:val="24"/>
          <w:lang w:val="uk-UA"/>
        </w:rPr>
        <w:t xml:space="preserve"> опалювальної площі;</w:t>
      </w:r>
    </w:p>
    <w:p w:rsidR="001F5808" w:rsidRDefault="003A2762" w:rsidP="008B1262">
      <w:pPr>
        <w:pStyle w:val="a3"/>
        <w:numPr>
          <w:ilvl w:val="2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Мають проектну документацію.</w:t>
      </w:r>
    </w:p>
    <w:p w:rsidR="00740DAA" w:rsidRDefault="00740DAA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Скласти перелік вузлів обліку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використання в 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реконструкції абонентських вводів системи опалення житлових будинків 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23B48" w:rsidRPr="00740DAA">
        <w:rPr>
          <w:rFonts w:ascii="Times New Roman" w:hAnsi="Times New Roman" w:cs="Times New Roman"/>
          <w:sz w:val="24"/>
          <w:szCs w:val="24"/>
          <w:lang w:val="uk-UA"/>
        </w:rPr>
        <w:t xml:space="preserve"> будинкових приладів обліку теплової енергії</w:t>
      </w:r>
      <w:r w:rsidR="006100F3">
        <w:rPr>
          <w:rFonts w:ascii="Times New Roman" w:hAnsi="Times New Roman" w:cs="Times New Roman"/>
          <w:sz w:val="24"/>
          <w:szCs w:val="24"/>
          <w:lang w:val="uk-UA"/>
        </w:rPr>
        <w:t xml:space="preserve">, з урахуванням типів, марок, </w:t>
      </w:r>
      <w:r w:rsidR="001F5808">
        <w:rPr>
          <w:rFonts w:ascii="Times New Roman" w:hAnsi="Times New Roman" w:cs="Times New Roman"/>
          <w:sz w:val="24"/>
          <w:szCs w:val="24"/>
          <w:lang w:val="uk-UA"/>
        </w:rPr>
        <w:t>діаметрів, для забезпечення сталого експлуатування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0DAA" w:rsidRDefault="00740DAA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Укласти договір на виконання робіт (замовник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«ІТЕ»; виконавець - юридична особа - спеціалізована організація чи підприємство, що </w:t>
      </w:r>
      <w:r w:rsidRPr="00740DAA">
        <w:rPr>
          <w:rFonts w:ascii="Times New Roman" w:hAnsi="Times New Roman" w:cs="Times New Roman"/>
          <w:sz w:val="24"/>
          <w:szCs w:val="24"/>
          <w:lang w:val="uk-UA"/>
        </w:rPr>
        <w:t>має відповідні дозволи на виконання робіт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581156" w:rsidRDefault="0058115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в експлуатацію об’єкти згідно з чинним законодавством.</w:t>
      </w:r>
    </w:p>
    <w:p w:rsidR="00F2429B" w:rsidRDefault="00F2429B" w:rsidP="008B1262">
      <w:pPr>
        <w:pStyle w:val="a3"/>
        <w:spacing w:after="0" w:line="240" w:lineRule="auto"/>
        <w:ind w:left="567" w:right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765" w:rsidRDefault="00D93C40" w:rsidP="008B1262">
      <w:pPr>
        <w:pStyle w:val="a3"/>
        <w:numPr>
          <w:ilvl w:val="0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A4540">
        <w:rPr>
          <w:rFonts w:ascii="Times New Roman" w:hAnsi="Times New Roman" w:cs="Times New Roman"/>
          <w:sz w:val="24"/>
          <w:szCs w:val="24"/>
          <w:lang w:val="uk-UA"/>
        </w:rPr>
        <w:t>ешканцям багатоквартирного будинку</w:t>
      </w:r>
      <w:r w:rsidR="00A6576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75AF9" w:rsidRPr="00581156" w:rsidRDefault="0058115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115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75AF9" w:rsidRPr="00581156">
        <w:rPr>
          <w:rFonts w:ascii="Times New Roman" w:hAnsi="Times New Roman" w:cs="Times New Roman"/>
          <w:sz w:val="24"/>
          <w:szCs w:val="24"/>
          <w:lang w:val="uk-UA"/>
        </w:rPr>
        <w:t xml:space="preserve">рганізувати збори 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>з питання</w:t>
      </w:r>
      <w:r w:rsidR="00475AF9" w:rsidRPr="00581156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>становленн</w:t>
      </w:r>
      <w:r w:rsidR="00475AF9" w:rsidRPr="00581156">
        <w:rPr>
          <w:rFonts w:ascii="Times New Roman" w:hAnsi="Times New Roman" w:cs="Times New Roman"/>
          <w:sz w:val="24"/>
          <w:szCs w:val="24"/>
          <w:lang w:val="uk-UA"/>
        </w:rPr>
        <w:t>я вузла обліку теплової енергії</w:t>
      </w:r>
      <w:r w:rsidR="001661C0" w:rsidRPr="001B1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1C0" w:rsidRPr="001B1C8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661C0" w:rsidRPr="001B1C88">
        <w:rPr>
          <w:rFonts w:ascii="Times New Roman" w:hAnsi="Times New Roman" w:cs="Times New Roman"/>
          <w:sz w:val="24"/>
          <w:szCs w:val="24"/>
        </w:rPr>
        <w:t xml:space="preserve"> </w:t>
      </w:r>
      <w:r w:rsidR="001661C0" w:rsidRPr="00581156">
        <w:rPr>
          <w:rFonts w:ascii="Times New Roman" w:hAnsi="Times New Roman" w:cs="Times New Roman"/>
          <w:sz w:val="24"/>
          <w:szCs w:val="24"/>
          <w:lang w:val="uk-UA"/>
        </w:rPr>
        <w:t>оформленням протоколу</w:t>
      </w:r>
      <w:r w:rsidR="00475AF9" w:rsidRPr="005811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81156" w:rsidRDefault="0058115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Обрати представника ініціативної групи по будинку для оформлення документації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>, необхідність в як</w:t>
      </w:r>
      <w:r w:rsidR="00634861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 xml:space="preserve"> виникає </w:t>
      </w:r>
      <w:r>
        <w:rPr>
          <w:rFonts w:ascii="Times New Roman" w:hAnsi="Times New Roman" w:cs="Times New Roman"/>
          <w:sz w:val="24"/>
          <w:szCs w:val="24"/>
          <w:lang w:val="uk-UA"/>
        </w:rPr>
        <w:t>в процесі виконання робіт;</w:t>
      </w:r>
    </w:p>
    <w:p w:rsidR="00581156" w:rsidRDefault="0058115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Подати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«ІТЕ» на участь в заходах з реконструкції абонентських вводів системи опалення житлових будинків з встановленням будинкових приладів обліку теплової енергії на правах пайової участі та на видачу технічних умов;</w:t>
      </w:r>
    </w:p>
    <w:p w:rsidR="00A65765" w:rsidRDefault="0058115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65765" w:rsidRPr="00581156">
        <w:rPr>
          <w:rFonts w:ascii="Times New Roman" w:hAnsi="Times New Roman" w:cs="Times New Roman"/>
          <w:sz w:val="24"/>
          <w:szCs w:val="24"/>
          <w:lang w:val="uk-UA"/>
        </w:rPr>
        <w:t>хвалити рішення</w:t>
      </w:r>
      <w:r w:rsidR="009C50C3">
        <w:rPr>
          <w:rFonts w:ascii="Times New Roman" w:hAnsi="Times New Roman" w:cs="Times New Roman"/>
          <w:sz w:val="24"/>
          <w:szCs w:val="24"/>
          <w:lang w:val="uk-UA"/>
        </w:rPr>
        <w:t xml:space="preserve"> з оформленням протоколу</w:t>
      </w:r>
      <w:r w:rsidR="00A65765" w:rsidRPr="00581156">
        <w:rPr>
          <w:rFonts w:ascii="Times New Roman" w:hAnsi="Times New Roman" w:cs="Times New Roman"/>
          <w:sz w:val="24"/>
          <w:szCs w:val="24"/>
          <w:lang w:val="uk-UA"/>
        </w:rPr>
        <w:t xml:space="preserve"> про безкоштовну передачу пайової частки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</w:t>
      </w:r>
      <w:r w:rsidR="00A65765" w:rsidRPr="00581156">
        <w:rPr>
          <w:rFonts w:ascii="Times New Roman" w:hAnsi="Times New Roman" w:cs="Times New Roman"/>
          <w:sz w:val="24"/>
          <w:szCs w:val="24"/>
          <w:lang w:val="uk-UA"/>
        </w:rPr>
        <w:t xml:space="preserve">Іллічівської міської ради, з подальшою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передачею на баланс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«ІТЕ»</w:t>
      </w:r>
      <w:r w:rsidR="00475AF9" w:rsidRPr="005811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34A96" w:rsidRDefault="00C34A96" w:rsidP="008B1262">
      <w:pPr>
        <w:pStyle w:val="a3"/>
        <w:numPr>
          <w:ilvl w:val="1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C3E">
        <w:rPr>
          <w:rFonts w:ascii="Times New Roman" w:hAnsi="Times New Roman" w:cs="Times New Roman"/>
          <w:sz w:val="24"/>
          <w:szCs w:val="24"/>
          <w:lang w:val="uk-UA"/>
        </w:rPr>
        <w:t xml:space="preserve">Обраному </w:t>
      </w:r>
      <w:r>
        <w:rPr>
          <w:rFonts w:ascii="Times New Roman" w:hAnsi="Times New Roman" w:cs="Times New Roman"/>
          <w:sz w:val="24"/>
          <w:szCs w:val="24"/>
          <w:lang w:val="uk-UA"/>
        </w:rPr>
        <w:t>представнику ініціативної групи:</w:t>
      </w:r>
    </w:p>
    <w:p w:rsidR="00B07C3E" w:rsidRDefault="00B07C3E" w:rsidP="008B1262">
      <w:pPr>
        <w:pStyle w:val="a3"/>
        <w:numPr>
          <w:ilvl w:val="2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71EB">
        <w:rPr>
          <w:rFonts w:ascii="Times New Roman" w:hAnsi="Times New Roman" w:cs="Times New Roman"/>
          <w:sz w:val="24"/>
          <w:szCs w:val="24"/>
          <w:lang w:val="uk-UA"/>
        </w:rPr>
        <w:t xml:space="preserve">Перерахувати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цільового фонду 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соціально-економічного та культурного розвитку міста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Іллічівськ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а на 2016 рік (УДКСУ у м. Іллічівську Одеської області, код за ЄДРПОУ 37914041, банк </w:t>
      </w:r>
      <w:proofErr w:type="spellStart"/>
      <w:r w:rsidR="00C34A96">
        <w:rPr>
          <w:rFonts w:ascii="Times New Roman" w:hAnsi="Times New Roman" w:cs="Times New Roman"/>
          <w:sz w:val="24"/>
          <w:szCs w:val="24"/>
          <w:lang w:val="uk-UA"/>
        </w:rPr>
        <w:t>отримувача</w:t>
      </w:r>
      <w:proofErr w:type="spellEnd"/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 ГУДКСУ в Одеській області, МФО 828011, р/р 31517931700015, ко</w:t>
      </w:r>
      <w:r w:rsidR="008B1262">
        <w:rPr>
          <w:rFonts w:ascii="Times New Roman" w:hAnsi="Times New Roman" w:cs="Times New Roman"/>
          <w:sz w:val="24"/>
          <w:szCs w:val="24"/>
          <w:lang w:val="uk-UA"/>
        </w:rPr>
        <w:t>д платежу 50110000, вид платежу-добровільні внески</w:t>
      </w:r>
      <w:r w:rsidR="005D27E3">
        <w:rPr>
          <w:rFonts w:ascii="Times New Roman" w:hAnsi="Times New Roman" w:cs="Times New Roman"/>
          <w:sz w:val="24"/>
          <w:szCs w:val="24"/>
          <w:lang w:val="uk-UA"/>
        </w:rPr>
        <w:t xml:space="preserve"> громадян на реконструкцію абонентських вводів системи опалення житлових будинків з встановленням будинкових приладів обліку теплової енергії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34A96" w:rsidRDefault="009C50C3" w:rsidP="008B1262">
      <w:pPr>
        <w:pStyle w:val="a3"/>
        <w:numPr>
          <w:ilvl w:val="2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випадку самостійного придбання п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ередати безкоштовно </w:t>
      </w:r>
      <w:r w:rsidR="00C34A96" w:rsidRPr="00B07C3E">
        <w:rPr>
          <w:rFonts w:ascii="Times New Roman" w:hAnsi="Times New Roman" w:cs="Times New Roman"/>
          <w:sz w:val="24"/>
          <w:szCs w:val="24"/>
          <w:lang w:val="uk-UA"/>
        </w:rPr>
        <w:t>будинкові прилади обліку теплової енергії з повним пакетом документів у комунальну власність</w:t>
      </w:r>
      <w:r w:rsidR="002A2A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6AE3">
        <w:rPr>
          <w:rFonts w:ascii="Times New Roman" w:hAnsi="Times New Roman" w:cs="Times New Roman"/>
          <w:sz w:val="24"/>
          <w:szCs w:val="24"/>
          <w:lang w:val="uk-UA"/>
        </w:rPr>
        <w:t>Іллічівської міської р</w:t>
      </w:r>
      <w:r w:rsidR="002A2ABE" w:rsidRPr="00B07C3E">
        <w:rPr>
          <w:rFonts w:ascii="Times New Roman" w:hAnsi="Times New Roman" w:cs="Times New Roman"/>
          <w:sz w:val="24"/>
          <w:szCs w:val="24"/>
          <w:lang w:val="uk-UA"/>
        </w:rPr>
        <w:t>ади</w:t>
      </w:r>
      <w:r w:rsidR="00C34A96" w:rsidRPr="00B07C3E">
        <w:rPr>
          <w:rFonts w:ascii="Times New Roman" w:hAnsi="Times New Roman" w:cs="Times New Roman"/>
          <w:sz w:val="24"/>
          <w:szCs w:val="24"/>
          <w:lang w:val="uk-UA"/>
        </w:rPr>
        <w:t xml:space="preserve"> з подальшою передачею на баланс </w:t>
      </w:r>
      <w:proofErr w:type="spellStart"/>
      <w:r w:rsidR="00C34A96" w:rsidRPr="00B07C3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C34A96" w:rsidRPr="00B07C3E">
        <w:rPr>
          <w:rFonts w:ascii="Times New Roman" w:hAnsi="Times New Roman" w:cs="Times New Roman"/>
          <w:sz w:val="24"/>
          <w:szCs w:val="24"/>
          <w:lang w:val="uk-UA"/>
        </w:rPr>
        <w:t xml:space="preserve"> «ІТЕ», </w:t>
      </w:r>
      <w:r w:rsidR="00B23B48">
        <w:rPr>
          <w:rFonts w:ascii="Times New Roman" w:hAnsi="Times New Roman" w:cs="Times New Roman"/>
          <w:sz w:val="24"/>
          <w:szCs w:val="24"/>
          <w:lang w:val="uk-UA"/>
        </w:rPr>
        <w:t>зі</w:t>
      </w:r>
      <w:r w:rsidR="005D27E3">
        <w:rPr>
          <w:rFonts w:ascii="Times New Roman" w:hAnsi="Times New Roman" w:cs="Times New Roman"/>
          <w:sz w:val="24"/>
          <w:szCs w:val="24"/>
          <w:lang w:val="uk-UA"/>
        </w:rPr>
        <w:t xml:space="preserve"> складанням відповідного акту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429B" w:rsidRDefault="00F2429B" w:rsidP="008B1262">
      <w:pPr>
        <w:pStyle w:val="a3"/>
        <w:spacing w:after="0" w:line="240" w:lineRule="auto"/>
        <w:ind w:left="567" w:right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1C88" w:rsidRDefault="00A65765" w:rsidP="008B1262">
      <w:pPr>
        <w:pStyle w:val="a3"/>
        <w:numPr>
          <w:ilvl w:val="0"/>
          <w:numId w:val="1"/>
        </w:numPr>
        <w:spacing w:after="0" w:line="240" w:lineRule="auto"/>
        <w:ind w:left="0" w:right="425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C3E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344F27" w:rsidRPr="00B07C3E">
        <w:rPr>
          <w:rFonts w:ascii="Times New Roman" w:hAnsi="Times New Roman" w:cs="Times New Roman"/>
          <w:sz w:val="24"/>
          <w:szCs w:val="24"/>
          <w:lang w:val="uk-UA"/>
        </w:rPr>
        <w:t>ін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ансовому </w:t>
      </w:r>
      <w:r w:rsidR="00344F27" w:rsidRPr="00B07C3E">
        <w:rPr>
          <w:rFonts w:ascii="Times New Roman" w:hAnsi="Times New Roman" w:cs="Times New Roman"/>
          <w:sz w:val="24"/>
          <w:szCs w:val="24"/>
          <w:lang w:val="uk-UA"/>
        </w:rPr>
        <w:t>управлінн</w:t>
      </w:r>
      <w:r w:rsidR="00AF7B46" w:rsidRPr="00B07C3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B1262">
        <w:rPr>
          <w:rFonts w:ascii="Times New Roman" w:hAnsi="Times New Roman" w:cs="Times New Roman"/>
          <w:sz w:val="24"/>
          <w:szCs w:val="24"/>
          <w:lang w:val="uk-UA"/>
        </w:rPr>
        <w:t xml:space="preserve"> Іллічівської міської р</w:t>
      </w:r>
      <w:r w:rsidR="00344F27" w:rsidRPr="00B07C3E">
        <w:rPr>
          <w:rFonts w:ascii="Times New Roman" w:hAnsi="Times New Roman" w:cs="Times New Roman"/>
          <w:sz w:val="24"/>
          <w:szCs w:val="24"/>
          <w:lang w:val="uk-UA"/>
        </w:rPr>
        <w:t xml:space="preserve">ади </w:t>
      </w:r>
      <w:r w:rsidR="00AF7B46" w:rsidRPr="00B07C3E">
        <w:rPr>
          <w:rFonts w:ascii="Times New Roman" w:hAnsi="Times New Roman" w:cs="Times New Roman"/>
          <w:sz w:val="24"/>
          <w:szCs w:val="24"/>
          <w:lang w:val="uk-UA"/>
        </w:rPr>
        <w:t xml:space="preserve">(Яковенко О.М.) 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>використ</w:t>
      </w:r>
      <w:r w:rsidR="005D27E3">
        <w:rPr>
          <w:rFonts w:ascii="Times New Roman" w:hAnsi="Times New Roman" w:cs="Times New Roman"/>
          <w:sz w:val="24"/>
          <w:szCs w:val="24"/>
          <w:lang w:val="uk-UA"/>
        </w:rPr>
        <w:t>ання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 кошт</w:t>
      </w:r>
      <w:r w:rsidR="005D27E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34A96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до цільового фонду соціально-економічного та культурного розвитку міста  Іллічівська на 2016 рік, як добровільні внески на </w:t>
      </w:r>
      <w:r w:rsidR="005D27E3">
        <w:rPr>
          <w:rFonts w:ascii="Times New Roman" w:hAnsi="Times New Roman" w:cs="Times New Roman"/>
          <w:sz w:val="24"/>
          <w:szCs w:val="24"/>
          <w:lang w:val="uk-UA"/>
        </w:rPr>
        <w:t>реконструкцію абонентських вводів системи опалення житлових будинків з встановленням будинкових приладів обліку теплової енергії, здійснювати відповідно до кошторису, що затверджується Іллічівською міською радою про використання коштів цільового фонду соціально-економічного та культурного розвитку міста  Іллічівська на 2016 рік.</w:t>
      </w:r>
    </w:p>
    <w:p w:rsidR="00F2429B" w:rsidRPr="00B07C3E" w:rsidRDefault="00F2429B" w:rsidP="008B1262">
      <w:pPr>
        <w:pStyle w:val="a3"/>
        <w:spacing w:after="0" w:line="240" w:lineRule="auto"/>
        <w:ind w:left="567" w:right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32F5" w:rsidRPr="00C62713" w:rsidRDefault="0048230A" w:rsidP="008B1262">
      <w:pPr>
        <w:pStyle w:val="a3"/>
        <w:numPr>
          <w:ilvl w:val="0"/>
          <w:numId w:val="1"/>
        </w:numPr>
        <w:spacing w:after="0" w:line="240" w:lineRule="auto"/>
        <w:ind w:left="0" w:right="425" w:firstLine="567"/>
        <w:jc w:val="both"/>
        <w:rPr>
          <w:lang w:val="uk-UA"/>
        </w:rPr>
      </w:pPr>
      <w:r w:rsidRPr="004961D5">
        <w:rPr>
          <w:rFonts w:ascii="Times New Roman" w:hAnsi="Times New Roman" w:cs="Times New Roman"/>
          <w:sz w:val="24"/>
          <w:szCs w:val="24"/>
          <w:lang w:val="uk-UA"/>
        </w:rPr>
        <w:t>Управлі</w:t>
      </w:r>
      <w:r w:rsidR="00475AF9" w:rsidRPr="004961D5">
        <w:rPr>
          <w:rFonts w:ascii="Times New Roman" w:hAnsi="Times New Roman" w:cs="Times New Roman"/>
          <w:sz w:val="24"/>
          <w:szCs w:val="24"/>
          <w:lang w:val="uk-UA"/>
        </w:rPr>
        <w:t>нню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AF7B46"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та земельних відносин </w:t>
      </w:r>
      <w:r w:rsidR="00475AF9" w:rsidRPr="004961D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475AF9" w:rsidRPr="004961D5">
        <w:rPr>
          <w:rFonts w:ascii="Times New Roman" w:hAnsi="Times New Roman" w:cs="Times New Roman"/>
          <w:sz w:val="24"/>
          <w:szCs w:val="24"/>
          <w:lang w:val="uk-UA"/>
        </w:rPr>
        <w:t>Маляренко</w:t>
      </w:r>
      <w:proofErr w:type="spellEnd"/>
      <w:r w:rsidR="00475AF9"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О.С.) 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провести процедуру прийняття у комунальну власність переданих встановлених будинкових приладів обліку теплової енергії з подальшою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4AC0" w:rsidRPr="004961D5">
        <w:rPr>
          <w:rFonts w:ascii="Times New Roman" w:hAnsi="Times New Roman" w:cs="Times New Roman"/>
          <w:sz w:val="24"/>
          <w:szCs w:val="24"/>
          <w:lang w:val="uk-UA"/>
        </w:rPr>
        <w:t>їх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передач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ею на баланс </w:t>
      </w:r>
      <w:proofErr w:type="spellStart"/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«ІТЕ»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через поповнення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292" w:rsidRPr="004961D5">
        <w:rPr>
          <w:rFonts w:ascii="Times New Roman" w:hAnsi="Times New Roman" w:cs="Times New Roman"/>
          <w:sz w:val="24"/>
          <w:szCs w:val="24"/>
          <w:lang w:val="uk-UA"/>
        </w:rPr>
        <w:t>ста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тут</w:t>
      </w:r>
      <w:r w:rsidR="00AE2292" w:rsidRPr="004961D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AE2292"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капітал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C88" w:rsidRPr="004961D5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4961D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713" w:rsidRDefault="00C62713" w:rsidP="008B1262">
      <w:pPr>
        <w:ind w:right="425"/>
        <w:jc w:val="both"/>
        <w:rPr>
          <w:lang w:val="uk-UA"/>
        </w:rPr>
      </w:pPr>
    </w:p>
    <w:p w:rsidR="00C62713" w:rsidRPr="008B1262" w:rsidRDefault="00634861" w:rsidP="00634861">
      <w:pPr>
        <w:jc w:val="center"/>
        <w:rPr>
          <w:sz w:val="24"/>
          <w:szCs w:val="24"/>
          <w:lang w:val="uk-UA"/>
        </w:rPr>
      </w:pPr>
      <w:r w:rsidRPr="008B126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sz w:val="24"/>
          <w:szCs w:val="24"/>
          <w:lang w:val="uk-UA"/>
        </w:rPr>
        <w:tab/>
      </w:r>
      <w:r w:rsidRPr="008B1262">
        <w:rPr>
          <w:rFonts w:ascii="Times New Roman" w:hAnsi="Times New Roman" w:cs="Times New Roman"/>
          <w:sz w:val="24"/>
          <w:szCs w:val="24"/>
          <w:lang w:val="uk-UA"/>
        </w:rPr>
        <w:t>Лубковський І.А.</w:t>
      </w:r>
    </w:p>
    <w:p w:rsidR="00C62713" w:rsidRDefault="00C62713" w:rsidP="00C62713">
      <w:pPr>
        <w:jc w:val="both"/>
        <w:rPr>
          <w:lang w:val="uk-UA"/>
        </w:rPr>
      </w:pPr>
    </w:p>
    <w:p w:rsidR="00C62713" w:rsidRDefault="00C62713" w:rsidP="00C62713">
      <w:pPr>
        <w:jc w:val="both"/>
        <w:rPr>
          <w:lang w:val="uk-UA"/>
        </w:rPr>
      </w:pPr>
    </w:p>
    <w:p w:rsidR="00C62713" w:rsidRDefault="00C62713" w:rsidP="00C62713">
      <w:pPr>
        <w:jc w:val="both"/>
        <w:rPr>
          <w:lang w:val="uk-UA"/>
        </w:rPr>
      </w:pPr>
    </w:p>
    <w:p w:rsidR="00C62713" w:rsidRDefault="00C62713" w:rsidP="00C62713">
      <w:pPr>
        <w:jc w:val="both"/>
        <w:rPr>
          <w:lang w:val="uk-UA"/>
        </w:rPr>
      </w:pPr>
    </w:p>
    <w:p w:rsidR="00C62713" w:rsidRDefault="00C62713" w:rsidP="00C62713">
      <w:pPr>
        <w:jc w:val="both"/>
        <w:rPr>
          <w:lang w:val="uk-UA"/>
        </w:rPr>
      </w:pPr>
    </w:p>
    <w:p w:rsidR="00C62713" w:rsidRDefault="00C62713" w:rsidP="00C62713">
      <w:pPr>
        <w:jc w:val="both"/>
        <w:rPr>
          <w:lang w:val="uk-UA"/>
        </w:rPr>
      </w:pPr>
    </w:p>
    <w:sectPr w:rsidR="00C62713" w:rsidSect="00634861">
      <w:type w:val="continuous"/>
      <w:pgSz w:w="11906" w:h="16838" w:code="9"/>
      <w:pgMar w:top="284" w:right="42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D83"/>
    <w:multiLevelType w:val="multilevel"/>
    <w:tmpl w:val="1BA02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compat/>
  <w:rsids>
    <w:rsidRoot w:val="008A4540"/>
    <w:rsid w:val="0006313D"/>
    <w:rsid w:val="000C7AB0"/>
    <w:rsid w:val="000F37B1"/>
    <w:rsid w:val="000F6CDD"/>
    <w:rsid w:val="001427BA"/>
    <w:rsid w:val="001661C0"/>
    <w:rsid w:val="001B1C88"/>
    <w:rsid w:val="001F5808"/>
    <w:rsid w:val="002553E5"/>
    <w:rsid w:val="002A2ABE"/>
    <w:rsid w:val="002F036C"/>
    <w:rsid w:val="002F412E"/>
    <w:rsid w:val="00344F27"/>
    <w:rsid w:val="00360315"/>
    <w:rsid w:val="003A2762"/>
    <w:rsid w:val="003C6B1D"/>
    <w:rsid w:val="00442A91"/>
    <w:rsid w:val="004648A7"/>
    <w:rsid w:val="00466AE3"/>
    <w:rsid w:val="00475AF9"/>
    <w:rsid w:val="0048230A"/>
    <w:rsid w:val="004961D5"/>
    <w:rsid w:val="00531A5E"/>
    <w:rsid w:val="005574C3"/>
    <w:rsid w:val="00562B5A"/>
    <w:rsid w:val="00581156"/>
    <w:rsid w:val="005D27E3"/>
    <w:rsid w:val="006100F3"/>
    <w:rsid w:val="00633B56"/>
    <w:rsid w:val="00634861"/>
    <w:rsid w:val="00683974"/>
    <w:rsid w:val="006D3D8A"/>
    <w:rsid w:val="006E7E76"/>
    <w:rsid w:val="00704AC0"/>
    <w:rsid w:val="00740DAA"/>
    <w:rsid w:val="00776699"/>
    <w:rsid w:val="00783BA2"/>
    <w:rsid w:val="007A1E69"/>
    <w:rsid w:val="007B1D9C"/>
    <w:rsid w:val="007C4D75"/>
    <w:rsid w:val="007C771B"/>
    <w:rsid w:val="008036AA"/>
    <w:rsid w:val="00843BE2"/>
    <w:rsid w:val="0084651F"/>
    <w:rsid w:val="00873FEE"/>
    <w:rsid w:val="008803A1"/>
    <w:rsid w:val="008972E1"/>
    <w:rsid w:val="008A4540"/>
    <w:rsid w:val="008B1262"/>
    <w:rsid w:val="008D067B"/>
    <w:rsid w:val="008E2A86"/>
    <w:rsid w:val="00943DF0"/>
    <w:rsid w:val="0098502A"/>
    <w:rsid w:val="009C50C3"/>
    <w:rsid w:val="009F30A4"/>
    <w:rsid w:val="00A65765"/>
    <w:rsid w:val="00AE2292"/>
    <w:rsid w:val="00AF7B46"/>
    <w:rsid w:val="00B07C3E"/>
    <w:rsid w:val="00B23B48"/>
    <w:rsid w:val="00B4001D"/>
    <w:rsid w:val="00B82706"/>
    <w:rsid w:val="00BB0085"/>
    <w:rsid w:val="00BC0676"/>
    <w:rsid w:val="00BC168A"/>
    <w:rsid w:val="00BF1F8B"/>
    <w:rsid w:val="00C07D55"/>
    <w:rsid w:val="00C22136"/>
    <w:rsid w:val="00C34A96"/>
    <w:rsid w:val="00C371C3"/>
    <w:rsid w:val="00C373A0"/>
    <w:rsid w:val="00C62713"/>
    <w:rsid w:val="00CC3AF4"/>
    <w:rsid w:val="00CD32F5"/>
    <w:rsid w:val="00CE6A43"/>
    <w:rsid w:val="00D0707F"/>
    <w:rsid w:val="00D36B30"/>
    <w:rsid w:val="00D4079E"/>
    <w:rsid w:val="00D56F47"/>
    <w:rsid w:val="00D93C40"/>
    <w:rsid w:val="00DD6879"/>
    <w:rsid w:val="00DE3D80"/>
    <w:rsid w:val="00E308A1"/>
    <w:rsid w:val="00E33E86"/>
    <w:rsid w:val="00E55CAF"/>
    <w:rsid w:val="00F04F5D"/>
    <w:rsid w:val="00F2429B"/>
    <w:rsid w:val="00F43D4E"/>
    <w:rsid w:val="00FE7289"/>
    <w:rsid w:val="00FF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540"/>
    <w:pPr>
      <w:ind w:left="720"/>
      <w:contextualSpacing/>
    </w:pPr>
  </w:style>
  <w:style w:type="table" w:styleId="a4">
    <w:name w:val="Table Grid"/>
    <w:basedOn w:val="a1"/>
    <w:uiPriority w:val="59"/>
    <w:rsid w:val="008A45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Marianna</cp:lastModifiedBy>
  <cp:revision>23</cp:revision>
  <cp:lastPrinted>2015-12-16T09:54:00Z</cp:lastPrinted>
  <dcterms:created xsi:type="dcterms:W3CDTF">2015-12-01T11:51:00Z</dcterms:created>
  <dcterms:modified xsi:type="dcterms:W3CDTF">2015-12-16T09:55:00Z</dcterms:modified>
</cp:coreProperties>
</file>