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diagrams/drawing1.xml" ContentType="application/vnd.ms-office.drawingml.diagramDrawing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70" w:rsidRPr="001347F8" w:rsidRDefault="002C18EE" w:rsidP="002C18EE">
      <w:pPr>
        <w:jc w:val="center"/>
        <w:outlineLvl w:val="0"/>
        <w:rPr>
          <w:rFonts w:ascii="Times New Roman" w:hAnsi="Times New Roman"/>
          <w:b/>
          <w:sz w:val="26"/>
          <w:szCs w:val="26"/>
          <w:lang w:val="uk-UA"/>
        </w:rPr>
      </w:pPr>
      <w:r w:rsidRPr="001347F8">
        <w:rPr>
          <w:rFonts w:ascii="Times New Roman" w:hAnsi="Times New Roman"/>
          <w:b/>
          <w:sz w:val="26"/>
          <w:szCs w:val="26"/>
          <w:lang w:val="uk-UA"/>
        </w:rPr>
        <w:t xml:space="preserve">Інформація фінансового управління Іллічівської міської ради </w:t>
      </w:r>
    </w:p>
    <w:p w:rsidR="008A734D" w:rsidRDefault="002C18EE" w:rsidP="002C18EE">
      <w:pPr>
        <w:jc w:val="center"/>
        <w:outlineLvl w:val="0"/>
        <w:rPr>
          <w:rFonts w:ascii="Times New Roman" w:hAnsi="Times New Roman"/>
          <w:b/>
          <w:sz w:val="26"/>
          <w:szCs w:val="26"/>
          <w:lang w:val="uk-UA"/>
        </w:rPr>
      </w:pPr>
      <w:r w:rsidRPr="001347F8">
        <w:rPr>
          <w:rFonts w:ascii="Times New Roman" w:hAnsi="Times New Roman"/>
          <w:b/>
          <w:sz w:val="26"/>
          <w:szCs w:val="26"/>
          <w:lang w:val="uk-UA"/>
        </w:rPr>
        <w:t xml:space="preserve">щодо виконання </w:t>
      </w:r>
      <w:r w:rsidR="008A734D">
        <w:rPr>
          <w:rFonts w:ascii="Times New Roman" w:hAnsi="Times New Roman"/>
          <w:b/>
          <w:sz w:val="26"/>
          <w:szCs w:val="26"/>
          <w:lang w:val="uk-UA"/>
        </w:rPr>
        <w:t xml:space="preserve">міського </w:t>
      </w:r>
      <w:r w:rsidRPr="001347F8">
        <w:rPr>
          <w:rFonts w:ascii="Times New Roman" w:hAnsi="Times New Roman"/>
          <w:b/>
          <w:sz w:val="26"/>
          <w:szCs w:val="26"/>
          <w:lang w:val="uk-UA"/>
        </w:rPr>
        <w:t xml:space="preserve">бюджету  міста </w:t>
      </w:r>
      <w:r w:rsidR="00620277">
        <w:rPr>
          <w:rFonts w:ascii="Times New Roman" w:hAnsi="Times New Roman"/>
          <w:b/>
          <w:sz w:val="26"/>
          <w:szCs w:val="26"/>
          <w:lang w:val="uk-UA"/>
        </w:rPr>
        <w:t>Чорноморська</w:t>
      </w:r>
      <w:r w:rsidRPr="001347F8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</w:p>
    <w:p w:rsidR="002C18EE" w:rsidRPr="001347F8" w:rsidRDefault="002C18EE" w:rsidP="002C18EE">
      <w:pPr>
        <w:jc w:val="center"/>
        <w:outlineLvl w:val="0"/>
        <w:rPr>
          <w:rFonts w:ascii="Times New Roman" w:hAnsi="Times New Roman"/>
          <w:b/>
          <w:sz w:val="26"/>
          <w:szCs w:val="26"/>
          <w:lang w:val="uk-UA"/>
        </w:rPr>
      </w:pPr>
      <w:r w:rsidRPr="001347F8">
        <w:rPr>
          <w:rFonts w:ascii="Times New Roman" w:hAnsi="Times New Roman"/>
          <w:b/>
          <w:sz w:val="26"/>
          <w:szCs w:val="26"/>
          <w:lang w:val="uk-UA"/>
        </w:rPr>
        <w:t xml:space="preserve">за </w:t>
      </w:r>
      <w:r w:rsidR="00BF0B6B" w:rsidRPr="001347F8">
        <w:rPr>
          <w:rFonts w:ascii="Times New Roman" w:hAnsi="Times New Roman"/>
          <w:b/>
          <w:sz w:val="26"/>
          <w:szCs w:val="26"/>
          <w:lang w:val="uk-UA"/>
        </w:rPr>
        <w:t xml:space="preserve">1 </w:t>
      </w:r>
      <w:r w:rsidR="001347F8" w:rsidRPr="001347F8">
        <w:rPr>
          <w:rFonts w:ascii="Times New Roman" w:hAnsi="Times New Roman"/>
          <w:b/>
          <w:sz w:val="26"/>
          <w:szCs w:val="26"/>
          <w:lang w:val="uk-UA"/>
        </w:rPr>
        <w:t>квартал</w:t>
      </w:r>
      <w:r w:rsidR="00BF0B6B" w:rsidRPr="001347F8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347F8">
        <w:rPr>
          <w:rFonts w:ascii="Times New Roman" w:hAnsi="Times New Roman"/>
          <w:b/>
          <w:sz w:val="26"/>
          <w:szCs w:val="26"/>
          <w:lang w:val="uk-UA"/>
        </w:rPr>
        <w:t>20</w:t>
      </w:r>
      <w:r w:rsidR="0039514F" w:rsidRPr="001347F8">
        <w:rPr>
          <w:rFonts w:ascii="Times New Roman" w:hAnsi="Times New Roman"/>
          <w:b/>
          <w:sz w:val="26"/>
          <w:szCs w:val="26"/>
          <w:lang w:val="uk-UA"/>
        </w:rPr>
        <w:t>1</w:t>
      </w:r>
      <w:r w:rsidR="00620277">
        <w:rPr>
          <w:rFonts w:ascii="Times New Roman" w:hAnsi="Times New Roman"/>
          <w:b/>
          <w:sz w:val="26"/>
          <w:szCs w:val="26"/>
          <w:lang w:val="uk-UA"/>
        </w:rPr>
        <w:t>6</w:t>
      </w:r>
      <w:r w:rsidRPr="001347F8">
        <w:rPr>
          <w:rFonts w:ascii="Times New Roman" w:hAnsi="Times New Roman"/>
          <w:b/>
          <w:sz w:val="26"/>
          <w:szCs w:val="26"/>
          <w:lang w:val="uk-UA"/>
        </w:rPr>
        <w:t xml:space="preserve"> р</w:t>
      </w:r>
      <w:r w:rsidR="001347F8">
        <w:rPr>
          <w:rFonts w:ascii="Times New Roman" w:hAnsi="Times New Roman"/>
          <w:b/>
          <w:sz w:val="26"/>
          <w:szCs w:val="26"/>
          <w:lang w:val="uk-UA"/>
        </w:rPr>
        <w:t>оку</w:t>
      </w:r>
    </w:p>
    <w:p w:rsidR="002937CB" w:rsidRPr="001347F8" w:rsidRDefault="002937CB">
      <w:pPr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1347F8">
        <w:rPr>
          <w:rFonts w:ascii="Times New Roman" w:hAnsi="Times New Roman"/>
          <w:b/>
          <w:sz w:val="26"/>
          <w:szCs w:val="26"/>
          <w:lang w:val="uk-UA"/>
        </w:rPr>
        <w:t xml:space="preserve">                                                                    </w:t>
      </w:r>
    </w:p>
    <w:p w:rsidR="001347F8" w:rsidRDefault="008A734D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      До міського</w:t>
      </w:r>
      <w:r w:rsidR="001347F8" w:rsidRPr="001347F8">
        <w:rPr>
          <w:rFonts w:ascii="Times New Roman" w:hAnsi="Times New Roman"/>
          <w:b/>
          <w:sz w:val="26"/>
          <w:szCs w:val="26"/>
          <w:lang w:val="uk-UA"/>
        </w:rPr>
        <w:t xml:space="preserve"> бюджет</w:t>
      </w:r>
      <w:r>
        <w:rPr>
          <w:rFonts w:ascii="Times New Roman" w:hAnsi="Times New Roman"/>
          <w:b/>
          <w:sz w:val="26"/>
          <w:szCs w:val="26"/>
          <w:lang w:val="uk-UA"/>
        </w:rPr>
        <w:t>у</w:t>
      </w:r>
      <w:r w:rsidR="001347F8" w:rsidRPr="001347F8">
        <w:rPr>
          <w:rFonts w:ascii="Times New Roman" w:hAnsi="Times New Roman"/>
          <w:b/>
          <w:sz w:val="26"/>
          <w:szCs w:val="26"/>
          <w:lang w:val="uk-UA"/>
        </w:rPr>
        <w:t xml:space="preserve"> міста </w:t>
      </w:r>
      <w:r w:rsidR="00620277">
        <w:rPr>
          <w:rFonts w:ascii="Times New Roman" w:hAnsi="Times New Roman"/>
          <w:b/>
          <w:sz w:val="26"/>
          <w:szCs w:val="26"/>
          <w:lang w:val="uk-UA"/>
        </w:rPr>
        <w:t>Чорноморська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 xml:space="preserve"> за січень - </w:t>
      </w:r>
      <w:r w:rsidR="001347F8">
        <w:rPr>
          <w:rFonts w:ascii="Times New Roman" w:hAnsi="Times New Roman"/>
          <w:sz w:val="26"/>
          <w:szCs w:val="26"/>
          <w:lang w:val="uk-UA"/>
        </w:rPr>
        <w:t>березень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 xml:space="preserve"> 201</w:t>
      </w:r>
      <w:r w:rsidR="00620277">
        <w:rPr>
          <w:rFonts w:ascii="Times New Roman" w:hAnsi="Times New Roman"/>
          <w:sz w:val="26"/>
          <w:szCs w:val="26"/>
          <w:lang w:val="uk-UA"/>
        </w:rPr>
        <w:t>6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 xml:space="preserve"> року надійшло доходів в обсязі </w:t>
      </w:r>
      <w:r w:rsidR="00620277">
        <w:rPr>
          <w:rFonts w:ascii="Times New Roman" w:hAnsi="Times New Roman"/>
          <w:sz w:val="26"/>
          <w:szCs w:val="26"/>
          <w:lang w:val="uk-UA"/>
        </w:rPr>
        <w:t>127 771,0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20277">
        <w:rPr>
          <w:rFonts w:ascii="Times New Roman" w:hAnsi="Times New Roman"/>
          <w:sz w:val="26"/>
          <w:szCs w:val="26"/>
          <w:lang w:val="uk-UA"/>
        </w:rPr>
        <w:t>тис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>. грн., що складає 10</w:t>
      </w:r>
      <w:r w:rsidR="00620277">
        <w:rPr>
          <w:rFonts w:ascii="Times New Roman" w:hAnsi="Times New Roman"/>
          <w:sz w:val="26"/>
          <w:szCs w:val="26"/>
          <w:lang w:val="uk-UA"/>
        </w:rPr>
        <w:t>9,3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 xml:space="preserve"> % планового показника </w:t>
      </w:r>
      <w:r w:rsidR="00620277">
        <w:rPr>
          <w:rFonts w:ascii="Times New Roman" w:hAnsi="Times New Roman"/>
          <w:sz w:val="26"/>
          <w:szCs w:val="26"/>
          <w:lang w:val="uk-UA"/>
        </w:rPr>
        <w:t>3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>-х місяців</w:t>
      </w:r>
      <w:r w:rsidR="001347F8">
        <w:rPr>
          <w:rFonts w:ascii="Times New Roman" w:hAnsi="Times New Roman"/>
          <w:sz w:val="26"/>
          <w:szCs w:val="26"/>
          <w:lang w:val="uk-UA"/>
        </w:rPr>
        <w:t xml:space="preserve"> та 2</w:t>
      </w:r>
      <w:r w:rsidR="00620277">
        <w:rPr>
          <w:rFonts w:ascii="Times New Roman" w:hAnsi="Times New Roman"/>
          <w:sz w:val="26"/>
          <w:szCs w:val="26"/>
          <w:lang w:val="uk-UA"/>
        </w:rPr>
        <w:t>7,5</w:t>
      </w:r>
      <w:r w:rsidR="001347F8">
        <w:rPr>
          <w:rFonts w:ascii="Times New Roman" w:hAnsi="Times New Roman"/>
          <w:sz w:val="26"/>
          <w:szCs w:val="26"/>
          <w:lang w:val="uk-UA"/>
        </w:rPr>
        <w:t xml:space="preserve"> % </w:t>
      </w:r>
      <w:r w:rsidR="00620277">
        <w:rPr>
          <w:rFonts w:ascii="Times New Roman" w:hAnsi="Times New Roman"/>
          <w:sz w:val="26"/>
          <w:szCs w:val="26"/>
          <w:lang w:val="uk-UA"/>
        </w:rPr>
        <w:t xml:space="preserve">уточненого </w:t>
      </w:r>
      <w:r w:rsidR="001347F8">
        <w:rPr>
          <w:rFonts w:ascii="Times New Roman" w:hAnsi="Times New Roman"/>
          <w:sz w:val="26"/>
          <w:szCs w:val="26"/>
          <w:lang w:val="uk-UA"/>
        </w:rPr>
        <w:t>річного плану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 xml:space="preserve">. В порівнянні  з  відповідним  періодом </w:t>
      </w:r>
      <w:r w:rsidR="00620277">
        <w:rPr>
          <w:rFonts w:ascii="Times New Roman" w:hAnsi="Times New Roman"/>
          <w:sz w:val="26"/>
          <w:szCs w:val="26"/>
          <w:lang w:val="uk-UA"/>
        </w:rPr>
        <w:t>м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 xml:space="preserve">инулого  року  доходи  міського   бюджету  збільшились  на  </w:t>
      </w:r>
      <w:r w:rsidR="00620277">
        <w:rPr>
          <w:rFonts w:ascii="Times New Roman" w:hAnsi="Times New Roman"/>
          <w:sz w:val="26"/>
          <w:szCs w:val="26"/>
          <w:lang w:val="uk-UA"/>
        </w:rPr>
        <w:t>38 545,4 тис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 xml:space="preserve">. грн., або на </w:t>
      </w:r>
      <w:r w:rsidR="00620277">
        <w:rPr>
          <w:rFonts w:ascii="Times New Roman" w:hAnsi="Times New Roman"/>
          <w:sz w:val="26"/>
          <w:szCs w:val="26"/>
          <w:lang w:val="uk-UA"/>
        </w:rPr>
        <w:t>43,2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 xml:space="preserve"> %.</w:t>
      </w:r>
    </w:p>
    <w:p w:rsidR="00915C89" w:rsidRDefault="00915C89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915C89" w:rsidRPr="001347F8" w:rsidRDefault="00C1619C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2pt;margin-top:198.6pt;width:468pt;height:1.5pt;flip:y;z-index:251655680" o:connectortype="straight"/>
        </w:pict>
      </w:r>
      <w:r w:rsidR="00915C89" w:rsidRPr="00915C89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939790" cy="2530785"/>
            <wp:effectExtent l="19050" t="0" r="22860" b="286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15C89" w:rsidRDefault="00915C89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347F8" w:rsidRPr="001347F8" w:rsidRDefault="001347F8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347F8">
        <w:rPr>
          <w:rFonts w:ascii="Times New Roman" w:hAnsi="Times New Roman"/>
          <w:sz w:val="26"/>
          <w:szCs w:val="26"/>
          <w:lang w:val="uk-UA"/>
        </w:rPr>
        <w:t xml:space="preserve">       В загальних обсягах надходжень до міського бюджету </w:t>
      </w:r>
      <w:r w:rsidRPr="00B67AD2">
        <w:rPr>
          <w:rFonts w:ascii="Times New Roman" w:hAnsi="Times New Roman"/>
          <w:b/>
          <w:sz w:val="26"/>
          <w:szCs w:val="26"/>
          <w:lang w:val="uk-UA"/>
        </w:rPr>
        <w:t>субвенції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з державного бюджету складають </w:t>
      </w:r>
      <w:r w:rsidR="00620277">
        <w:rPr>
          <w:rFonts w:ascii="Times New Roman" w:hAnsi="Times New Roman"/>
          <w:sz w:val="26"/>
          <w:szCs w:val="26"/>
          <w:lang w:val="uk-UA"/>
        </w:rPr>
        <w:t>37 565,1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20277">
        <w:rPr>
          <w:rFonts w:ascii="Times New Roman" w:hAnsi="Times New Roman"/>
          <w:sz w:val="26"/>
          <w:szCs w:val="26"/>
          <w:lang w:val="uk-UA"/>
        </w:rPr>
        <w:t>тис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. грн., із яких </w:t>
      </w:r>
      <w:r w:rsidR="00FC7E67">
        <w:rPr>
          <w:rFonts w:ascii="Times New Roman" w:hAnsi="Times New Roman"/>
          <w:sz w:val="26"/>
          <w:szCs w:val="26"/>
          <w:lang w:val="uk-UA"/>
        </w:rPr>
        <w:t>23 897,4 тис</w:t>
      </w:r>
      <w:r w:rsidRPr="001347F8">
        <w:rPr>
          <w:rFonts w:ascii="Times New Roman" w:hAnsi="Times New Roman"/>
          <w:sz w:val="26"/>
          <w:szCs w:val="26"/>
          <w:lang w:val="uk-UA"/>
        </w:rPr>
        <w:t>. грн. соціальн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субвенці</w:t>
      </w:r>
      <w:r>
        <w:rPr>
          <w:rFonts w:ascii="Times New Roman" w:hAnsi="Times New Roman"/>
          <w:sz w:val="26"/>
          <w:szCs w:val="26"/>
          <w:lang w:val="uk-UA"/>
        </w:rPr>
        <w:t>ї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та </w:t>
      </w:r>
      <w:r>
        <w:rPr>
          <w:rFonts w:ascii="Times New Roman" w:hAnsi="Times New Roman"/>
          <w:sz w:val="26"/>
          <w:szCs w:val="26"/>
          <w:lang w:val="uk-UA"/>
        </w:rPr>
        <w:t>13</w:t>
      </w:r>
      <w:r w:rsidR="00FC7E67">
        <w:rPr>
          <w:rFonts w:ascii="Times New Roman" w:hAnsi="Times New Roman"/>
          <w:sz w:val="26"/>
          <w:szCs w:val="26"/>
          <w:lang w:val="uk-UA"/>
        </w:rPr>
        <w:t xml:space="preserve"> 667,7 тис</w:t>
      </w:r>
      <w:r w:rsidRPr="001347F8">
        <w:rPr>
          <w:rFonts w:ascii="Times New Roman" w:hAnsi="Times New Roman"/>
          <w:sz w:val="26"/>
          <w:szCs w:val="26"/>
          <w:lang w:val="uk-UA"/>
        </w:rPr>
        <w:t>. грн. - освітня субвенція.</w:t>
      </w:r>
    </w:p>
    <w:p w:rsidR="00FE4894" w:rsidRDefault="00FE4894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915C89" w:rsidRDefault="008A734D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noProof/>
          <w:sz w:val="26"/>
          <w:szCs w:val="26"/>
        </w:rPr>
        <w:pict>
          <v:shape id="_x0000_s1031" type="#_x0000_t32" style="position:absolute;left:0;text-align:left;margin-left:296.7pt;margin-top:208.7pt;width:9.75pt;height:17.25pt;z-index:251660800" o:connectortype="straight"/>
        </w:pict>
      </w:r>
      <w:r w:rsidR="00C1619C">
        <w:rPr>
          <w:rFonts w:ascii="Times New Roman" w:hAnsi="Times New Roman"/>
          <w:noProof/>
          <w:sz w:val="26"/>
          <w:szCs w:val="26"/>
        </w:rPr>
        <w:pict>
          <v:shape id="_x0000_s1027" type="#_x0000_t32" style="position:absolute;left:0;text-align:left;margin-left:1.2pt;margin-top:258.9pt;width:468pt;height:2.25pt;z-index:251657728" o:connectortype="straight"/>
        </w:pict>
      </w:r>
      <w:r w:rsidR="00915C89" w:rsidRPr="00915C89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939790" cy="3314573"/>
            <wp:effectExtent l="19050" t="0" r="22860" b="127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1347F8" w:rsidRPr="001347F8" w:rsidRDefault="001347F8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347F8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Pr="001347F8">
        <w:rPr>
          <w:rFonts w:ascii="Times New Roman" w:hAnsi="Times New Roman"/>
          <w:b/>
          <w:sz w:val="26"/>
          <w:szCs w:val="26"/>
          <w:lang w:val="uk-UA"/>
        </w:rPr>
        <w:t>До загального фонду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A734D">
        <w:rPr>
          <w:rFonts w:ascii="Times New Roman" w:hAnsi="Times New Roman"/>
          <w:sz w:val="26"/>
          <w:szCs w:val="26"/>
          <w:lang w:val="uk-UA"/>
        </w:rPr>
        <w:t xml:space="preserve">міського 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бюджету міста </w:t>
      </w:r>
      <w:r w:rsidR="00915C89">
        <w:rPr>
          <w:rFonts w:ascii="Times New Roman" w:hAnsi="Times New Roman"/>
          <w:sz w:val="26"/>
          <w:szCs w:val="26"/>
          <w:lang w:val="uk-UA"/>
        </w:rPr>
        <w:t>Чорноморська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 надійшло доходів (без урахування субвенцій з державного бюджету) в обсязі </w:t>
      </w:r>
      <w:r w:rsidR="00FC7E67">
        <w:rPr>
          <w:rFonts w:ascii="Times New Roman" w:hAnsi="Times New Roman"/>
          <w:sz w:val="26"/>
          <w:szCs w:val="26"/>
          <w:lang w:val="uk-UA"/>
        </w:rPr>
        <w:t>84 664,4 тис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. грн., або </w:t>
      </w:r>
      <w:r w:rsidR="00FC7E67">
        <w:rPr>
          <w:rFonts w:ascii="Times New Roman" w:hAnsi="Times New Roman"/>
          <w:sz w:val="26"/>
          <w:szCs w:val="26"/>
          <w:lang w:val="uk-UA"/>
        </w:rPr>
        <w:t>126,7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% до плану </w:t>
      </w:r>
      <w:r w:rsidR="00FC7E67">
        <w:rPr>
          <w:rFonts w:ascii="Times New Roman" w:hAnsi="Times New Roman"/>
          <w:sz w:val="26"/>
          <w:szCs w:val="26"/>
          <w:lang w:val="uk-UA"/>
        </w:rPr>
        <w:t>1 кварталу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поточного року</w:t>
      </w:r>
      <w:r w:rsidR="00457895">
        <w:rPr>
          <w:rFonts w:ascii="Times New Roman" w:hAnsi="Times New Roman"/>
          <w:sz w:val="26"/>
          <w:szCs w:val="26"/>
          <w:lang w:val="uk-UA"/>
        </w:rPr>
        <w:t xml:space="preserve"> та 2</w:t>
      </w:r>
      <w:r w:rsidR="00FC7E67">
        <w:rPr>
          <w:rFonts w:ascii="Times New Roman" w:hAnsi="Times New Roman"/>
          <w:sz w:val="26"/>
          <w:szCs w:val="26"/>
          <w:lang w:val="uk-UA"/>
        </w:rPr>
        <w:t>8,2</w:t>
      </w:r>
      <w:r w:rsidR="00457895">
        <w:rPr>
          <w:rFonts w:ascii="Times New Roman" w:hAnsi="Times New Roman"/>
          <w:sz w:val="26"/>
          <w:szCs w:val="26"/>
          <w:lang w:val="uk-UA"/>
        </w:rPr>
        <w:t xml:space="preserve"> % від </w:t>
      </w:r>
      <w:r w:rsidR="00FC7E67">
        <w:rPr>
          <w:rFonts w:ascii="Times New Roman" w:hAnsi="Times New Roman"/>
          <w:sz w:val="26"/>
          <w:szCs w:val="26"/>
          <w:lang w:val="uk-UA"/>
        </w:rPr>
        <w:t xml:space="preserve">уточненого </w:t>
      </w:r>
      <w:r w:rsidR="00457895">
        <w:rPr>
          <w:rFonts w:ascii="Times New Roman" w:hAnsi="Times New Roman"/>
          <w:sz w:val="26"/>
          <w:szCs w:val="26"/>
          <w:lang w:val="uk-UA"/>
        </w:rPr>
        <w:t>річного плану. В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порівнянні з аналогічним періодом 201</w:t>
      </w:r>
      <w:r w:rsidR="00FC7E67">
        <w:rPr>
          <w:rFonts w:ascii="Times New Roman" w:hAnsi="Times New Roman"/>
          <w:sz w:val="26"/>
          <w:szCs w:val="26"/>
          <w:lang w:val="uk-UA"/>
        </w:rPr>
        <w:t>5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року </w:t>
      </w:r>
      <w:r w:rsidR="00457895">
        <w:rPr>
          <w:rFonts w:ascii="Times New Roman" w:hAnsi="Times New Roman"/>
          <w:sz w:val="26"/>
          <w:szCs w:val="26"/>
          <w:lang w:val="uk-UA"/>
        </w:rPr>
        <w:t xml:space="preserve">надходження 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збільшились на </w:t>
      </w:r>
      <w:r w:rsidR="00FC7E67">
        <w:rPr>
          <w:rFonts w:ascii="Times New Roman" w:hAnsi="Times New Roman"/>
          <w:sz w:val="26"/>
          <w:szCs w:val="26"/>
          <w:lang w:val="uk-UA"/>
        </w:rPr>
        <w:t>46,2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%, або </w:t>
      </w:r>
      <w:r w:rsidR="0045789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на </w:t>
      </w:r>
      <w:r w:rsidR="00FC7E67">
        <w:rPr>
          <w:rFonts w:ascii="Times New Roman" w:hAnsi="Times New Roman"/>
          <w:sz w:val="26"/>
          <w:szCs w:val="26"/>
          <w:lang w:val="uk-UA"/>
        </w:rPr>
        <w:t>26 771,8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C7E67">
        <w:rPr>
          <w:rFonts w:ascii="Times New Roman" w:hAnsi="Times New Roman"/>
          <w:sz w:val="26"/>
          <w:szCs w:val="26"/>
          <w:lang w:val="uk-UA"/>
        </w:rPr>
        <w:t>тис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. гривень. </w:t>
      </w:r>
    </w:p>
    <w:p w:rsidR="00B67AD2" w:rsidRDefault="00B67AD2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347F8" w:rsidRPr="001347F8" w:rsidRDefault="001347F8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347F8">
        <w:rPr>
          <w:rFonts w:ascii="Times New Roman" w:hAnsi="Times New Roman"/>
          <w:sz w:val="26"/>
          <w:szCs w:val="26"/>
          <w:lang w:val="uk-UA"/>
        </w:rPr>
        <w:t xml:space="preserve">       Основним джерелом наповнення міського бюджету залишається податок на доходи фізичних осіб та плата за землю.</w:t>
      </w:r>
    </w:p>
    <w:p w:rsidR="00B67AD2" w:rsidRDefault="00B67AD2" w:rsidP="00915C89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915C89" w:rsidRPr="00915C89" w:rsidRDefault="00915C89" w:rsidP="00915C89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915C89">
        <w:rPr>
          <w:rFonts w:ascii="Times New Roman" w:hAnsi="Times New Roman"/>
          <w:sz w:val="26"/>
          <w:szCs w:val="26"/>
          <w:lang w:val="uk-UA"/>
        </w:rPr>
        <w:t xml:space="preserve">        Відповідно до ст.64 Бюджетного кодексу України до доходів загального фонду бюджетів міст обласного значення належать </w:t>
      </w:r>
      <w:r w:rsidRPr="00915C89">
        <w:rPr>
          <w:rFonts w:ascii="Times New Roman" w:hAnsi="Times New Roman"/>
          <w:b/>
          <w:sz w:val="26"/>
          <w:szCs w:val="26"/>
          <w:lang w:val="uk-UA"/>
        </w:rPr>
        <w:t>60 відсотків податку на доходи фізичних осіб</w:t>
      </w:r>
      <w:r w:rsidRPr="00915C89">
        <w:rPr>
          <w:rFonts w:ascii="Times New Roman" w:hAnsi="Times New Roman"/>
          <w:sz w:val="26"/>
          <w:szCs w:val="26"/>
          <w:lang w:val="uk-UA"/>
        </w:rPr>
        <w:t xml:space="preserve"> (25 % зараховується до державного бюджету, 15 % - до обласного).</w:t>
      </w:r>
    </w:p>
    <w:p w:rsidR="00915C89" w:rsidRDefault="001347F8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347F8">
        <w:rPr>
          <w:rFonts w:ascii="Times New Roman" w:hAnsi="Times New Roman"/>
          <w:sz w:val="26"/>
          <w:szCs w:val="26"/>
          <w:lang w:val="uk-UA"/>
        </w:rPr>
        <w:t xml:space="preserve">        Так, за січень - </w:t>
      </w:r>
      <w:r w:rsidR="00457895">
        <w:rPr>
          <w:rFonts w:ascii="Times New Roman" w:hAnsi="Times New Roman"/>
          <w:sz w:val="26"/>
          <w:szCs w:val="26"/>
          <w:lang w:val="uk-UA"/>
        </w:rPr>
        <w:t>березень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поточного року податку на доходи фізичних осіб надійшло </w:t>
      </w:r>
      <w:r w:rsidR="00FC7E67">
        <w:rPr>
          <w:rFonts w:ascii="Times New Roman" w:hAnsi="Times New Roman"/>
          <w:sz w:val="26"/>
          <w:szCs w:val="26"/>
          <w:lang w:val="uk-UA"/>
        </w:rPr>
        <w:t>45 196,9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C7E67">
        <w:rPr>
          <w:rFonts w:ascii="Times New Roman" w:hAnsi="Times New Roman"/>
          <w:sz w:val="26"/>
          <w:szCs w:val="26"/>
          <w:lang w:val="uk-UA"/>
        </w:rPr>
        <w:t>тис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. грн., що на </w:t>
      </w:r>
      <w:r w:rsidR="00FC7E67">
        <w:rPr>
          <w:rFonts w:ascii="Times New Roman" w:hAnsi="Times New Roman"/>
          <w:sz w:val="26"/>
          <w:szCs w:val="26"/>
          <w:lang w:val="uk-UA"/>
        </w:rPr>
        <w:t>16 512,0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C7E67">
        <w:rPr>
          <w:rFonts w:ascii="Times New Roman" w:hAnsi="Times New Roman"/>
          <w:sz w:val="26"/>
          <w:szCs w:val="26"/>
          <w:lang w:val="uk-UA"/>
        </w:rPr>
        <w:t>тис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. грн. </w:t>
      </w:r>
      <w:r w:rsidR="00FC7E67">
        <w:rPr>
          <w:rFonts w:ascii="Times New Roman" w:hAnsi="Times New Roman"/>
          <w:sz w:val="26"/>
          <w:szCs w:val="26"/>
          <w:lang w:val="uk-UA"/>
        </w:rPr>
        <w:t>більше</w:t>
      </w:r>
      <w:r w:rsidRPr="001347F8">
        <w:rPr>
          <w:rFonts w:ascii="Times New Roman" w:hAnsi="Times New Roman"/>
          <w:sz w:val="26"/>
          <w:szCs w:val="26"/>
          <w:lang w:val="uk-UA"/>
        </w:rPr>
        <w:t xml:space="preserve"> надходжень </w:t>
      </w:r>
      <w:r w:rsidR="00FC7E67">
        <w:rPr>
          <w:rFonts w:ascii="Times New Roman" w:hAnsi="Times New Roman"/>
          <w:sz w:val="26"/>
          <w:szCs w:val="26"/>
          <w:lang w:val="uk-UA"/>
        </w:rPr>
        <w:t xml:space="preserve">1 кварталу </w:t>
      </w:r>
      <w:r w:rsidRPr="001347F8">
        <w:rPr>
          <w:rFonts w:ascii="Times New Roman" w:hAnsi="Times New Roman"/>
          <w:sz w:val="26"/>
          <w:szCs w:val="26"/>
          <w:lang w:val="uk-UA"/>
        </w:rPr>
        <w:t>минулого року</w:t>
      </w:r>
      <w:r w:rsidR="00915C89">
        <w:rPr>
          <w:rFonts w:ascii="Times New Roman" w:hAnsi="Times New Roman"/>
          <w:sz w:val="26"/>
          <w:szCs w:val="26"/>
          <w:lang w:val="uk-UA"/>
        </w:rPr>
        <w:t>.</w:t>
      </w:r>
    </w:p>
    <w:p w:rsidR="00915C89" w:rsidRDefault="00C1619C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noProof/>
          <w:sz w:val="26"/>
          <w:szCs w:val="26"/>
        </w:rPr>
        <w:pict>
          <v:shape id="_x0000_s1028" type="#_x0000_t32" style="position:absolute;left:0;text-align:left;margin-left:1.95pt;margin-top:249.7pt;width:465.75pt;height:3pt;z-index:251658752" o:connectortype="straight"/>
        </w:pict>
      </w:r>
      <w:r w:rsidR="00915C89" w:rsidRPr="00915C89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934075" cy="3200400"/>
            <wp:effectExtent l="19050" t="0" r="9525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67AD2" w:rsidRDefault="00B67AD2" w:rsidP="00B67AD2">
      <w:pPr>
        <w:jc w:val="both"/>
        <w:rPr>
          <w:lang w:val="uk-UA"/>
        </w:rPr>
      </w:pPr>
    </w:p>
    <w:p w:rsidR="00B67AD2" w:rsidRPr="00B67AD2" w:rsidRDefault="00B67AD2" w:rsidP="00B67AD2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B67AD2">
        <w:rPr>
          <w:rFonts w:ascii="Times New Roman" w:hAnsi="Times New Roman"/>
          <w:sz w:val="26"/>
          <w:szCs w:val="26"/>
          <w:lang w:val="uk-UA"/>
        </w:rPr>
        <w:t xml:space="preserve">         З 2016 року Законом України  від 24.12.2015р. № 909-VIIІ "Про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році" змінена ставка податку на доходи фізичних осіб з 15 % на 18 % та скасовано утримання із заробітної плати єдиного соціального внеску, що вплинуло на збільшення надходжень ПДФО до бюджету міста. </w:t>
      </w:r>
    </w:p>
    <w:p w:rsidR="00B67AD2" w:rsidRDefault="00B67AD2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FC7E67" w:rsidRDefault="00FC7E67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Pr="00B67AD2">
        <w:rPr>
          <w:rFonts w:ascii="Times New Roman" w:hAnsi="Times New Roman"/>
          <w:b/>
          <w:sz w:val="26"/>
          <w:szCs w:val="26"/>
          <w:lang w:val="uk-UA"/>
        </w:rPr>
        <w:t>Місцевих податків і збо</w:t>
      </w:r>
      <w:r w:rsidR="00126374" w:rsidRPr="00B67AD2">
        <w:rPr>
          <w:rFonts w:ascii="Times New Roman" w:hAnsi="Times New Roman"/>
          <w:b/>
          <w:sz w:val="26"/>
          <w:szCs w:val="26"/>
          <w:lang w:val="uk-UA"/>
        </w:rPr>
        <w:t>рів</w:t>
      </w:r>
      <w:r w:rsidR="00126374">
        <w:rPr>
          <w:rFonts w:ascii="Times New Roman" w:hAnsi="Times New Roman"/>
          <w:sz w:val="26"/>
          <w:szCs w:val="26"/>
          <w:lang w:val="uk-UA"/>
        </w:rPr>
        <w:t xml:space="preserve"> надійшло за звітний період 34 735,3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>.</w:t>
      </w:r>
      <w:r w:rsidR="00126374">
        <w:rPr>
          <w:rFonts w:ascii="Times New Roman" w:hAnsi="Times New Roman"/>
          <w:sz w:val="26"/>
          <w:szCs w:val="26"/>
          <w:lang w:val="uk-UA"/>
        </w:rPr>
        <w:t>, або 123,3 % від плану 1 кварталу та 27,4 % від річного плану, серед них :</w:t>
      </w:r>
    </w:p>
    <w:p w:rsidR="00B74F81" w:rsidRDefault="00B74F81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B67AD2" w:rsidRPr="00B67AD2" w:rsidRDefault="00126374" w:rsidP="00B67AD2">
      <w:pPr>
        <w:pStyle w:val="a9"/>
        <w:numPr>
          <w:ilvl w:val="0"/>
          <w:numId w:val="9"/>
        </w:numPr>
        <w:ind w:left="0" w:firstLine="360"/>
        <w:jc w:val="both"/>
        <w:rPr>
          <w:rStyle w:val="rvts0"/>
          <w:sz w:val="26"/>
          <w:szCs w:val="26"/>
          <w:lang w:val="uk-UA"/>
        </w:rPr>
      </w:pPr>
      <w:r w:rsidRPr="00B67AD2">
        <w:rPr>
          <w:b/>
          <w:sz w:val="26"/>
          <w:szCs w:val="26"/>
          <w:lang w:val="uk-UA"/>
        </w:rPr>
        <w:t>п</w:t>
      </w:r>
      <w:r w:rsidR="001347F8" w:rsidRPr="00B67AD2">
        <w:rPr>
          <w:b/>
          <w:sz w:val="26"/>
          <w:szCs w:val="26"/>
          <w:lang w:val="uk-UA"/>
        </w:rPr>
        <w:t>лати за землю</w:t>
      </w:r>
      <w:r w:rsidR="001347F8" w:rsidRPr="00B67AD2">
        <w:rPr>
          <w:sz w:val="26"/>
          <w:szCs w:val="26"/>
          <w:lang w:val="uk-UA"/>
        </w:rPr>
        <w:t xml:space="preserve"> надійшло </w:t>
      </w:r>
      <w:r w:rsidR="00FC7E67" w:rsidRPr="00B67AD2">
        <w:rPr>
          <w:sz w:val="26"/>
          <w:szCs w:val="26"/>
          <w:lang w:val="uk-UA"/>
        </w:rPr>
        <w:t>28 117,7 тис</w:t>
      </w:r>
      <w:r w:rsidR="001347F8" w:rsidRPr="00B67AD2">
        <w:rPr>
          <w:sz w:val="26"/>
          <w:szCs w:val="26"/>
          <w:lang w:val="uk-UA"/>
        </w:rPr>
        <w:t xml:space="preserve">. грн., що на </w:t>
      </w:r>
      <w:r w:rsidR="00FC7E67" w:rsidRPr="00B67AD2">
        <w:rPr>
          <w:sz w:val="26"/>
          <w:szCs w:val="26"/>
          <w:lang w:val="uk-UA"/>
        </w:rPr>
        <w:t>9 255,8</w:t>
      </w:r>
      <w:r w:rsidR="001347F8" w:rsidRPr="00B67AD2">
        <w:rPr>
          <w:sz w:val="26"/>
          <w:szCs w:val="26"/>
          <w:lang w:val="uk-UA"/>
        </w:rPr>
        <w:t xml:space="preserve"> </w:t>
      </w:r>
      <w:r w:rsidR="00FC7E67" w:rsidRPr="00B67AD2">
        <w:rPr>
          <w:sz w:val="26"/>
          <w:szCs w:val="26"/>
          <w:lang w:val="uk-UA"/>
        </w:rPr>
        <w:t>тис</w:t>
      </w:r>
      <w:r w:rsidR="001347F8" w:rsidRPr="00B67AD2">
        <w:rPr>
          <w:sz w:val="26"/>
          <w:szCs w:val="26"/>
          <w:lang w:val="uk-UA"/>
        </w:rPr>
        <w:t>. грн. більше надходжень за відповідний період минулого року</w:t>
      </w:r>
      <w:r w:rsidR="00B67AD2" w:rsidRPr="00B67AD2">
        <w:rPr>
          <w:sz w:val="26"/>
          <w:szCs w:val="26"/>
          <w:lang w:val="uk-UA"/>
        </w:rPr>
        <w:t xml:space="preserve">. На збільшення надходжень вплинув </w:t>
      </w:r>
      <w:r w:rsidR="00B67AD2" w:rsidRPr="00B67AD2">
        <w:rPr>
          <w:rStyle w:val="rvts0"/>
          <w:sz w:val="26"/>
          <w:szCs w:val="26"/>
          <w:lang w:val="uk-UA"/>
        </w:rPr>
        <w:t>коефіцієнт індексації нормативної грошової оцінки земель за 2015 рік</w:t>
      </w:r>
      <w:r w:rsidR="008A734D">
        <w:rPr>
          <w:rStyle w:val="rvts0"/>
          <w:sz w:val="26"/>
          <w:szCs w:val="26"/>
          <w:lang w:val="uk-UA"/>
        </w:rPr>
        <w:t>, який склав</w:t>
      </w:r>
      <w:r w:rsidR="00B67AD2" w:rsidRPr="00B67AD2">
        <w:rPr>
          <w:rStyle w:val="rvts0"/>
          <w:sz w:val="26"/>
          <w:szCs w:val="26"/>
          <w:lang w:val="uk-UA"/>
        </w:rPr>
        <w:t xml:space="preserve"> 1,443</w:t>
      </w:r>
      <w:r w:rsidR="008A734D">
        <w:rPr>
          <w:rStyle w:val="rvts0"/>
          <w:sz w:val="26"/>
          <w:szCs w:val="26"/>
          <w:lang w:val="uk-UA"/>
        </w:rPr>
        <w:t>.</w:t>
      </w:r>
    </w:p>
    <w:p w:rsidR="00540B5E" w:rsidRDefault="00540B5E" w:rsidP="00B67AD2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B67AD2" w:rsidRDefault="00B67AD2" w:rsidP="00B67AD2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B67AD2">
        <w:rPr>
          <w:rFonts w:ascii="Times New Roman" w:hAnsi="Times New Roman"/>
          <w:sz w:val="26"/>
          <w:szCs w:val="26"/>
          <w:lang w:val="uk-UA"/>
        </w:rPr>
        <w:t xml:space="preserve">       Станом на 01.04.2016р. Чорноморською міською радою </w:t>
      </w:r>
      <w:proofErr w:type="spellStart"/>
      <w:r w:rsidRPr="00B67AD2">
        <w:rPr>
          <w:rFonts w:ascii="Times New Roman" w:hAnsi="Times New Roman"/>
          <w:sz w:val="26"/>
          <w:szCs w:val="26"/>
          <w:lang w:val="uk-UA"/>
        </w:rPr>
        <w:t>заключено</w:t>
      </w:r>
      <w:proofErr w:type="spellEnd"/>
      <w:r w:rsidRPr="00B67AD2">
        <w:rPr>
          <w:rFonts w:ascii="Times New Roman" w:hAnsi="Times New Roman"/>
          <w:sz w:val="26"/>
          <w:szCs w:val="26"/>
          <w:lang w:val="uk-UA"/>
        </w:rPr>
        <w:t xml:space="preserve"> 837 договорів оренди земельних ділянок (в тому числі 333 з юридичними особами та 504 з фізичними особами).</w:t>
      </w:r>
    </w:p>
    <w:p w:rsidR="00B67AD2" w:rsidRPr="00B67AD2" w:rsidRDefault="00C1619C" w:rsidP="00B67AD2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pict>
          <v:shape id="_x0000_s1029" type="#_x0000_t32" style="position:absolute;left:0;text-align:left;margin-left:1.2pt;margin-top:220.7pt;width:467.25pt;height:2.25pt;z-index:251659776" o:connectortype="straight"/>
        </w:pict>
      </w:r>
      <w:r w:rsidR="00B67AD2" w:rsidRPr="00B67AD2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924550" cy="2828925"/>
            <wp:effectExtent l="19050" t="0" r="1905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67AD2" w:rsidRDefault="00B67AD2" w:rsidP="00B67AD2">
      <w:pPr>
        <w:pStyle w:val="a9"/>
        <w:ind w:left="360"/>
        <w:jc w:val="both"/>
        <w:rPr>
          <w:sz w:val="26"/>
          <w:szCs w:val="26"/>
          <w:lang w:val="uk-UA"/>
        </w:rPr>
      </w:pPr>
    </w:p>
    <w:p w:rsidR="00B67AD2" w:rsidRPr="00B67AD2" w:rsidRDefault="00B67AD2" w:rsidP="00B67AD2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B67AD2">
        <w:rPr>
          <w:rFonts w:ascii="Times New Roman" w:hAnsi="Times New Roman"/>
          <w:sz w:val="26"/>
          <w:szCs w:val="26"/>
          <w:lang w:val="uk-UA"/>
        </w:rPr>
        <w:t xml:space="preserve">        Рішенням виконавчого комітету Чорноморської міської ради від 27.03.2014р. № 89 створена  комісія з питань визначення та відшкодування збитків власникам землі та землекористувачам і впорядкування плати за користування земельними ділянками до укладання договорів оренди землі. За результатами роботи комісії до бюджету міста Чорноморська органами державної виконавчої служби стягнуто збитків в сумі 342,5 </w:t>
      </w:r>
      <w:proofErr w:type="spellStart"/>
      <w:r w:rsidRPr="00B67AD2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B67AD2">
        <w:rPr>
          <w:rFonts w:ascii="Times New Roman" w:hAnsi="Times New Roman"/>
          <w:sz w:val="26"/>
          <w:szCs w:val="26"/>
          <w:lang w:val="uk-UA"/>
        </w:rPr>
        <w:t>.</w:t>
      </w:r>
    </w:p>
    <w:p w:rsidR="00B67AD2" w:rsidRDefault="00B67AD2" w:rsidP="00B67AD2">
      <w:pPr>
        <w:pStyle w:val="a9"/>
        <w:ind w:left="360"/>
        <w:jc w:val="both"/>
        <w:rPr>
          <w:sz w:val="26"/>
          <w:szCs w:val="26"/>
          <w:lang w:val="uk-UA"/>
        </w:rPr>
      </w:pPr>
    </w:p>
    <w:p w:rsidR="001347F8" w:rsidRPr="00B67AD2" w:rsidRDefault="00126374" w:rsidP="00B67AD2">
      <w:pPr>
        <w:pStyle w:val="a9"/>
        <w:numPr>
          <w:ilvl w:val="0"/>
          <w:numId w:val="8"/>
        </w:numPr>
        <w:ind w:left="0" w:firstLine="360"/>
        <w:jc w:val="both"/>
        <w:rPr>
          <w:sz w:val="26"/>
          <w:szCs w:val="26"/>
          <w:lang w:val="uk-UA"/>
        </w:rPr>
      </w:pPr>
      <w:r w:rsidRPr="00B67AD2">
        <w:rPr>
          <w:b/>
          <w:sz w:val="26"/>
          <w:szCs w:val="26"/>
          <w:lang w:val="uk-UA"/>
        </w:rPr>
        <w:t>податку на нерухоме майно, відмінне від земельної ділянки</w:t>
      </w:r>
      <w:r>
        <w:rPr>
          <w:sz w:val="26"/>
          <w:szCs w:val="26"/>
          <w:lang w:val="uk-UA"/>
        </w:rPr>
        <w:t xml:space="preserve"> </w:t>
      </w:r>
      <w:r w:rsidR="00B67AD2">
        <w:rPr>
          <w:sz w:val="26"/>
          <w:szCs w:val="26"/>
          <w:lang w:val="uk-UA"/>
        </w:rPr>
        <w:t xml:space="preserve">надійшло до бюджету міста в обсязі </w:t>
      </w:r>
      <w:r>
        <w:rPr>
          <w:sz w:val="26"/>
          <w:szCs w:val="26"/>
          <w:lang w:val="uk-UA"/>
        </w:rPr>
        <w:t xml:space="preserve">711,3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 xml:space="preserve">., що на 574,7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 більше надходжень аналогічного періоду минулого року</w:t>
      </w:r>
      <w:r w:rsidR="00915C89">
        <w:rPr>
          <w:sz w:val="26"/>
          <w:szCs w:val="26"/>
          <w:lang w:val="uk-UA"/>
        </w:rPr>
        <w:t xml:space="preserve"> за рахунок терміну сплати податку за 4 квартал 2015 року до 30 січня 2016 року</w:t>
      </w:r>
      <w:r w:rsidR="00B67AD2">
        <w:rPr>
          <w:sz w:val="26"/>
          <w:szCs w:val="26"/>
          <w:lang w:val="uk-UA"/>
        </w:rPr>
        <w:t>. В 1 кварталі сплатили податок на нерухоме майно, відмінне від земельної ділянки, 181 суб`єкт господарювання, в тому числі 174 юридичних та 7 фізичних осіб;</w:t>
      </w:r>
      <w:r w:rsidR="00B67AD2" w:rsidRPr="00B67AD2">
        <w:rPr>
          <w:sz w:val="26"/>
          <w:szCs w:val="26"/>
          <w:lang w:val="uk-UA"/>
        </w:rPr>
        <w:t xml:space="preserve"> </w:t>
      </w:r>
    </w:p>
    <w:p w:rsidR="00B67AD2" w:rsidRDefault="00B67AD2" w:rsidP="00B67AD2">
      <w:pPr>
        <w:pStyle w:val="a9"/>
        <w:ind w:left="360"/>
        <w:jc w:val="both"/>
        <w:rPr>
          <w:sz w:val="26"/>
          <w:szCs w:val="26"/>
          <w:lang w:val="uk-UA"/>
        </w:rPr>
      </w:pPr>
    </w:p>
    <w:p w:rsidR="00915C89" w:rsidRDefault="00915C89" w:rsidP="00126374">
      <w:pPr>
        <w:pStyle w:val="a9"/>
        <w:numPr>
          <w:ilvl w:val="0"/>
          <w:numId w:val="8"/>
        </w:numPr>
        <w:ind w:left="0" w:firstLine="360"/>
        <w:jc w:val="both"/>
        <w:rPr>
          <w:sz w:val="26"/>
          <w:szCs w:val="26"/>
          <w:lang w:val="uk-UA"/>
        </w:rPr>
      </w:pPr>
      <w:r w:rsidRPr="00B67AD2">
        <w:rPr>
          <w:b/>
          <w:sz w:val="26"/>
          <w:szCs w:val="26"/>
          <w:lang w:val="uk-UA"/>
        </w:rPr>
        <w:t>транспортного податку</w:t>
      </w:r>
      <w:r w:rsidR="00B67AD2">
        <w:rPr>
          <w:sz w:val="26"/>
          <w:szCs w:val="26"/>
          <w:lang w:val="uk-UA"/>
        </w:rPr>
        <w:t xml:space="preserve"> надійшло 133,8 </w:t>
      </w:r>
      <w:proofErr w:type="spellStart"/>
      <w:r w:rsidR="00B67AD2">
        <w:rPr>
          <w:sz w:val="26"/>
          <w:szCs w:val="26"/>
          <w:lang w:val="uk-UA"/>
        </w:rPr>
        <w:t>тис.грн</w:t>
      </w:r>
      <w:proofErr w:type="spellEnd"/>
      <w:r w:rsidR="00B67AD2">
        <w:rPr>
          <w:sz w:val="26"/>
          <w:szCs w:val="26"/>
          <w:lang w:val="uk-UA"/>
        </w:rPr>
        <w:t xml:space="preserve">. від 8 юридичних осіб. </w:t>
      </w:r>
      <w:r w:rsidR="00B74F81">
        <w:rPr>
          <w:sz w:val="26"/>
          <w:szCs w:val="26"/>
          <w:lang w:val="uk-UA"/>
        </w:rPr>
        <w:t xml:space="preserve">В порівнянні до відповідного періоду 2015 року надходження збільшились                     на 20,1 </w:t>
      </w:r>
      <w:proofErr w:type="spellStart"/>
      <w:r w:rsidR="00B74F81">
        <w:rPr>
          <w:sz w:val="26"/>
          <w:szCs w:val="26"/>
          <w:lang w:val="uk-UA"/>
        </w:rPr>
        <w:t>тис.грн</w:t>
      </w:r>
      <w:proofErr w:type="spellEnd"/>
      <w:r w:rsidR="00B74F81">
        <w:rPr>
          <w:sz w:val="26"/>
          <w:szCs w:val="26"/>
          <w:lang w:val="uk-UA"/>
        </w:rPr>
        <w:t>., або на 17,7 %;</w:t>
      </w:r>
    </w:p>
    <w:p w:rsidR="00B74F81" w:rsidRDefault="00B74F81" w:rsidP="00B74F81">
      <w:pPr>
        <w:jc w:val="both"/>
        <w:rPr>
          <w:sz w:val="26"/>
          <w:szCs w:val="26"/>
          <w:lang w:val="uk-UA"/>
        </w:rPr>
      </w:pPr>
    </w:p>
    <w:p w:rsidR="00B74F81" w:rsidRPr="00B74F81" w:rsidRDefault="00B74F81" w:rsidP="00B74F81">
      <w:pPr>
        <w:pStyle w:val="a9"/>
        <w:numPr>
          <w:ilvl w:val="0"/>
          <w:numId w:val="8"/>
        </w:numPr>
        <w:ind w:left="0" w:firstLine="426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є</w:t>
      </w:r>
      <w:r w:rsidRPr="00B74F81">
        <w:rPr>
          <w:b/>
          <w:sz w:val="26"/>
          <w:szCs w:val="26"/>
          <w:lang w:val="uk-UA"/>
        </w:rPr>
        <w:t>диного податку</w:t>
      </w:r>
      <w:r w:rsidRPr="00B74F81">
        <w:rPr>
          <w:sz w:val="26"/>
          <w:szCs w:val="26"/>
          <w:lang w:val="uk-UA"/>
        </w:rPr>
        <w:t xml:space="preserve"> надійшло 5 772,2 </w:t>
      </w:r>
      <w:proofErr w:type="spellStart"/>
      <w:r w:rsidRPr="00B74F81">
        <w:rPr>
          <w:sz w:val="26"/>
          <w:szCs w:val="26"/>
          <w:lang w:val="uk-UA"/>
        </w:rPr>
        <w:t>тис.грн</w:t>
      </w:r>
      <w:proofErr w:type="spellEnd"/>
      <w:r w:rsidRPr="00B74F81">
        <w:rPr>
          <w:sz w:val="26"/>
          <w:szCs w:val="26"/>
          <w:lang w:val="uk-UA"/>
        </w:rPr>
        <w:t xml:space="preserve">., що на 1 722,2 </w:t>
      </w:r>
      <w:proofErr w:type="spellStart"/>
      <w:r w:rsidRPr="00B74F81">
        <w:rPr>
          <w:sz w:val="26"/>
          <w:szCs w:val="26"/>
          <w:lang w:val="uk-UA"/>
        </w:rPr>
        <w:t>тис.грн</w:t>
      </w:r>
      <w:proofErr w:type="spellEnd"/>
      <w:r w:rsidRPr="00B74F81">
        <w:rPr>
          <w:sz w:val="26"/>
          <w:szCs w:val="26"/>
          <w:lang w:val="uk-UA"/>
        </w:rPr>
        <w:t>. більше надходжень аналогічного періоду минулого року. Планові показники</w:t>
      </w:r>
      <w:r>
        <w:rPr>
          <w:sz w:val="26"/>
          <w:szCs w:val="26"/>
          <w:lang w:val="uk-UA"/>
        </w:rPr>
        <w:t xml:space="preserve"> 1 кварталу виконані на 142,5 %;</w:t>
      </w:r>
    </w:p>
    <w:p w:rsidR="00B74F81" w:rsidRDefault="00B74F81" w:rsidP="00B74F81">
      <w:pPr>
        <w:jc w:val="both"/>
        <w:rPr>
          <w:sz w:val="26"/>
          <w:szCs w:val="26"/>
          <w:lang w:val="uk-UA"/>
        </w:rPr>
      </w:pPr>
    </w:p>
    <w:p w:rsidR="00B74F81" w:rsidRPr="00B74F81" w:rsidRDefault="00B74F81" w:rsidP="00B74F81">
      <w:pPr>
        <w:pStyle w:val="a9"/>
        <w:numPr>
          <w:ilvl w:val="0"/>
          <w:numId w:val="8"/>
        </w:numPr>
        <w:jc w:val="both"/>
        <w:rPr>
          <w:sz w:val="26"/>
          <w:szCs w:val="26"/>
          <w:lang w:val="uk-UA"/>
        </w:rPr>
      </w:pPr>
      <w:r w:rsidRPr="00B74F81">
        <w:rPr>
          <w:b/>
          <w:sz w:val="26"/>
          <w:szCs w:val="26"/>
          <w:lang w:val="uk-UA"/>
        </w:rPr>
        <w:t>туристичного збору</w:t>
      </w:r>
      <w:r>
        <w:rPr>
          <w:sz w:val="26"/>
          <w:szCs w:val="26"/>
          <w:lang w:val="uk-UA"/>
        </w:rPr>
        <w:t xml:space="preserve"> за 1 квартал надійшло 9,6 </w:t>
      </w:r>
      <w:proofErr w:type="spellStart"/>
      <w:r>
        <w:rPr>
          <w:sz w:val="26"/>
          <w:szCs w:val="26"/>
          <w:lang w:val="uk-UA"/>
        </w:rPr>
        <w:t>тис.грн</w:t>
      </w:r>
      <w:proofErr w:type="spellEnd"/>
      <w:r>
        <w:rPr>
          <w:sz w:val="26"/>
          <w:szCs w:val="26"/>
          <w:lang w:val="uk-UA"/>
        </w:rPr>
        <w:t>.</w:t>
      </w:r>
    </w:p>
    <w:p w:rsidR="00FC7E67" w:rsidRDefault="00FC7E67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 xml:space="preserve">       </w:t>
      </w:r>
    </w:p>
    <w:p w:rsidR="00B74F81" w:rsidRDefault="00B74F81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В 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>2015 році відповідно до Закону України від 28.12.2014 року № 71-</w:t>
      </w:r>
      <w:r w:rsidR="001347F8" w:rsidRPr="001347F8">
        <w:rPr>
          <w:rFonts w:ascii="Times New Roman" w:hAnsi="Times New Roman"/>
          <w:sz w:val="26"/>
          <w:szCs w:val="26"/>
          <w:lang w:val="en-US"/>
        </w:rPr>
        <w:t>VIII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 xml:space="preserve"> "Про внесення змін до Податкового кодексу України та деяких законодавчих актів України щодо податкової реформи" запроваджено новий вид податку - </w:t>
      </w:r>
      <w:r w:rsidR="001347F8" w:rsidRPr="00B74F81">
        <w:rPr>
          <w:rFonts w:ascii="Times New Roman" w:hAnsi="Times New Roman"/>
          <w:b/>
          <w:sz w:val="26"/>
          <w:szCs w:val="26"/>
          <w:lang w:val="uk-UA"/>
        </w:rPr>
        <w:t>акцизний податок</w:t>
      </w:r>
      <w:r w:rsidR="001347F8" w:rsidRPr="001347F8">
        <w:rPr>
          <w:rFonts w:ascii="Times New Roman" w:hAnsi="Times New Roman"/>
          <w:sz w:val="26"/>
          <w:szCs w:val="26"/>
          <w:lang w:val="uk-UA"/>
        </w:rPr>
        <w:t xml:space="preserve"> з реалізованих підакцизних товарів суб`єктами господарювання роздрібної торгівлі</w:t>
      </w:r>
      <w:r>
        <w:rPr>
          <w:rFonts w:ascii="Times New Roman" w:hAnsi="Times New Roman"/>
          <w:sz w:val="26"/>
          <w:szCs w:val="26"/>
          <w:lang w:val="uk-UA"/>
        </w:rPr>
        <w:t xml:space="preserve">. За 1 квартал 2016 року до бюджету міста надійшло акцизного податку в сумі 3 588,2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., що на 1 257,1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. більше надходжень аналогічного періоду минулого року. </w:t>
      </w:r>
    </w:p>
    <w:p w:rsidR="00B74F81" w:rsidRDefault="00B74F81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B74F81" w:rsidRDefault="00B74F81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40B5E" w:rsidRDefault="00540B5E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40B5E" w:rsidRDefault="00540B5E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9E3C99" w:rsidRPr="009E3C99" w:rsidRDefault="009E3C99" w:rsidP="009E3C99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9E3C99">
        <w:rPr>
          <w:rFonts w:ascii="Times New Roman" w:hAnsi="Times New Roman"/>
          <w:sz w:val="26"/>
          <w:szCs w:val="26"/>
          <w:lang w:val="uk-UA"/>
        </w:rPr>
        <w:lastRenderedPageBreak/>
        <w:t xml:space="preserve">       </w:t>
      </w:r>
      <w:r w:rsidRPr="009E3C99">
        <w:rPr>
          <w:rFonts w:ascii="Times New Roman" w:hAnsi="Times New Roman"/>
          <w:b/>
          <w:sz w:val="26"/>
          <w:szCs w:val="26"/>
          <w:lang w:val="uk-UA"/>
        </w:rPr>
        <w:t>Акцизний податок</w:t>
      </w:r>
      <w:r w:rsidRPr="009E3C99">
        <w:rPr>
          <w:rFonts w:ascii="Times New Roman" w:hAnsi="Times New Roman"/>
          <w:sz w:val="26"/>
          <w:szCs w:val="26"/>
          <w:lang w:val="uk-UA"/>
        </w:rPr>
        <w:t xml:space="preserve"> сплатили 150 суб`єктів господарювання в загальній сумі                                  3 588,2 </w:t>
      </w:r>
      <w:proofErr w:type="spellStart"/>
      <w:r w:rsidRPr="009E3C99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9E3C99">
        <w:rPr>
          <w:rFonts w:ascii="Times New Roman" w:hAnsi="Times New Roman"/>
          <w:sz w:val="26"/>
          <w:szCs w:val="26"/>
          <w:lang w:val="uk-UA"/>
        </w:rPr>
        <w:t>.</w:t>
      </w:r>
    </w:p>
    <w:p w:rsidR="009E3C99" w:rsidRPr="009E3C99" w:rsidRDefault="009E3C99" w:rsidP="009E3C99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9E3C99" w:rsidRPr="009E3C99" w:rsidRDefault="009E3C99" w:rsidP="009E3C99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9E3C99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486400" cy="1076325"/>
            <wp:effectExtent l="38100" t="0" r="38100" b="0"/>
            <wp:docPr id="6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B74F81" w:rsidRDefault="00B74F81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9A218A" w:rsidRDefault="00D16F2D" w:rsidP="00D16F2D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D16F2D">
        <w:rPr>
          <w:rFonts w:ascii="Times New Roman" w:hAnsi="Times New Roman"/>
          <w:b/>
          <w:sz w:val="26"/>
          <w:szCs w:val="26"/>
          <w:lang w:val="uk-UA"/>
        </w:rPr>
        <w:t xml:space="preserve">        До  спеціального  фонду  </w:t>
      </w:r>
      <w:r w:rsidR="008A734D">
        <w:rPr>
          <w:rFonts w:ascii="Times New Roman" w:hAnsi="Times New Roman"/>
          <w:b/>
          <w:sz w:val="26"/>
          <w:szCs w:val="26"/>
          <w:lang w:val="uk-UA"/>
        </w:rPr>
        <w:t xml:space="preserve">міського </w:t>
      </w:r>
      <w:r w:rsidRPr="00D16F2D">
        <w:rPr>
          <w:rFonts w:ascii="Times New Roman" w:hAnsi="Times New Roman"/>
          <w:b/>
          <w:sz w:val="26"/>
          <w:szCs w:val="26"/>
          <w:lang w:val="uk-UA"/>
        </w:rPr>
        <w:t xml:space="preserve">бюджету </w:t>
      </w:r>
      <w:r w:rsidR="009A218A" w:rsidRPr="009A218A">
        <w:rPr>
          <w:rFonts w:ascii="Times New Roman" w:hAnsi="Times New Roman"/>
          <w:sz w:val="26"/>
          <w:szCs w:val="26"/>
          <w:lang w:val="uk-UA"/>
        </w:rPr>
        <w:t>за січень - березень поточного року</w:t>
      </w:r>
      <w:r w:rsidR="009A218A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D16F2D">
        <w:rPr>
          <w:rFonts w:ascii="Times New Roman" w:hAnsi="Times New Roman"/>
          <w:sz w:val="26"/>
          <w:szCs w:val="26"/>
          <w:lang w:val="uk-UA"/>
        </w:rPr>
        <w:t>надійшло 5 541,6 тис. грн.</w:t>
      </w:r>
      <w:r w:rsidR="009A218A">
        <w:rPr>
          <w:rFonts w:ascii="Times New Roman" w:hAnsi="Times New Roman"/>
          <w:sz w:val="26"/>
          <w:szCs w:val="26"/>
          <w:lang w:val="uk-UA"/>
        </w:rPr>
        <w:t xml:space="preserve">, що на 3 670,5 </w:t>
      </w:r>
      <w:proofErr w:type="spellStart"/>
      <w:r w:rsidR="009A218A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="009A218A">
        <w:rPr>
          <w:rFonts w:ascii="Times New Roman" w:hAnsi="Times New Roman"/>
          <w:sz w:val="26"/>
          <w:szCs w:val="26"/>
          <w:lang w:val="uk-UA"/>
        </w:rPr>
        <w:t>. більше надходжень відповідного періоду минулого року.</w:t>
      </w:r>
    </w:p>
    <w:p w:rsidR="009A218A" w:rsidRDefault="009A218A" w:rsidP="00D16F2D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Н</w:t>
      </w:r>
      <w:r w:rsidR="00D16F2D" w:rsidRPr="00D16F2D">
        <w:rPr>
          <w:rFonts w:ascii="Times New Roman" w:hAnsi="Times New Roman"/>
          <w:sz w:val="26"/>
          <w:szCs w:val="26"/>
          <w:lang w:val="uk-UA"/>
        </w:rPr>
        <w:t xml:space="preserve">адходження до </w:t>
      </w:r>
      <w:r w:rsidR="00D16F2D" w:rsidRPr="00D16F2D">
        <w:rPr>
          <w:rFonts w:ascii="Times New Roman" w:hAnsi="Times New Roman"/>
          <w:b/>
          <w:sz w:val="26"/>
          <w:szCs w:val="26"/>
          <w:lang w:val="uk-UA"/>
        </w:rPr>
        <w:t>бюджету розвитку</w:t>
      </w:r>
      <w:r w:rsidR="00D16F2D" w:rsidRPr="00D16F2D">
        <w:rPr>
          <w:rFonts w:ascii="Times New Roman" w:hAnsi="Times New Roman"/>
          <w:sz w:val="26"/>
          <w:szCs w:val="26"/>
          <w:lang w:val="uk-UA"/>
        </w:rPr>
        <w:t xml:space="preserve"> с</w:t>
      </w:r>
      <w:r>
        <w:rPr>
          <w:rFonts w:ascii="Times New Roman" w:hAnsi="Times New Roman"/>
          <w:sz w:val="26"/>
          <w:szCs w:val="26"/>
          <w:lang w:val="uk-UA"/>
        </w:rPr>
        <w:t>тановлять</w:t>
      </w:r>
      <w:r w:rsidR="00D16F2D" w:rsidRPr="00D16F2D">
        <w:rPr>
          <w:rFonts w:ascii="Times New Roman" w:hAnsi="Times New Roman"/>
          <w:sz w:val="26"/>
          <w:szCs w:val="26"/>
          <w:lang w:val="uk-UA"/>
        </w:rPr>
        <w:t xml:space="preserve"> 2 850,9 </w:t>
      </w:r>
      <w:proofErr w:type="spellStart"/>
      <w:r w:rsidR="00D16F2D" w:rsidRPr="00D16F2D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="00D16F2D" w:rsidRPr="00D16F2D">
        <w:rPr>
          <w:rFonts w:ascii="Times New Roman" w:hAnsi="Times New Roman"/>
          <w:sz w:val="26"/>
          <w:szCs w:val="26"/>
          <w:lang w:val="uk-UA"/>
        </w:rPr>
        <w:t>.</w:t>
      </w:r>
      <w:r>
        <w:rPr>
          <w:rFonts w:ascii="Times New Roman" w:hAnsi="Times New Roman"/>
          <w:sz w:val="26"/>
          <w:szCs w:val="26"/>
          <w:lang w:val="uk-UA"/>
        </w:rPr>
        <w:t xml:space="preserve">, або </w:t>
      </w:r>
      <w:r w:rsidR="00D16F2D" w:rsidRPr="00D16F2D">
        <w:rPr>
          <w:rFonts w:ascii="Times New Roman" w:hAnsi="Times New Roman"/>
          <w:sz w:val="26"/>
          <w:szCs w:val="26"/>
          <w:lang w:val="uk-UA"/>
        </w:rPr>
        <w:t xml:space="preserve">51,4 % від </w:t>
      </w:r>
      <w:r>
        <w:rPr>
          <w:rFonts w:ascii="Times New Roman" w:hAnsi="Times New Roman"/>
          <w:sz w:val="26"/>
          <w:szCs w:val="26"/>
          <w:lang w:val="uk-UA"/>
        </w:rPr>
        <w:t xml:space="preserve">загальної суми </w:t>
      </w:r>
      <w:r w:rsidR="00D16F2D" w:rsidRPr="00D16F2D">
        <w:rPr>
          <w:rFonts w:ascii="Times New Roman" w:hAnsi="Times New Roman"/>
          <w:sz w:val="26"/>
          <w:szCs w:val="26"/>
          <w:lang w:val="uk-UA"/>
        </w:rPr>
        <w:t>надходжень до спеціального фонду</w:t>
      </w:r>
      <w:r>
        <w:rPr>
          <w:rFonts w:ascii="Times New Roman" w:hAnsi="Times New Roman"/>
          <w:sz w:val="26"/>
          <w:szCs w:val="26"/>
          <w:lang w:val="uk-UA"/>
        </w:rPr>
        <w:t>, в тому числі :</w:t>
      </w:r>
    </w:p>
    <w:p w:rsidR="009A218A" w:rsidRDefault="009A218A" w:rsidP="00D16F2D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="004A7241">
        <w:rPr>
          <w:rFonts w:ascii="Times New Roman" w:hAnsi="Times New Roman"/>
          <w:sz w:val="26"/>
          <w:szCs w:val="26"/>
          <w:lang w:val="uk-UA"/>
        </w:rPr>
        <w:t xml:space="preserve">надходження коштів пайової участі у розвитку інфраструктури населеного пункту - 2 830,4 </w:t>
      </w:r>
      <w:proofErr w:type="spellStart"/>
      <w:r w:rsidR="004A7241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="004A7241">
        <w:rPr>
          <w:rFonts w:ascii="Times New Roman" w:hAnsi="Times New Roman"/>
          <w:sz w:val="26"/>
          <w:szCs w:val="26"/>
          <w:lang w:val="uk-UA"/>
        </w:rPr>
        <w:t>.;</w:t>
      </w:r>
    </w:p>
    <w:p w:rsidR="004A7241" w:rsidRDefault="004A7241" w:rsidP="00D16F2D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="00C33805">
        <w:rPr>
          <w:rFonts w:ascii="Times New Roman" w:hAnsi="Times New Roman"/>
          <w:sz w:val="26"/>
          <w:szCs w:val="26"/>
          <w:lang w:val="uk-UA"/>
        </w:rPr>
        <w:t xml:space="preserve">кошти від продажу земельних ділянок несільськогосподарського призначення, що перебувають у комунальній власності - 20,5 </w:t>
      </w:r>
      <w:proofErr w:type="spellStart"/>
      <w:r w:rsidR="00C33805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="00C33805">
        <w:rPr>
          <w:rFonts w:ascii="Times New Roman" w:hAnsi="Times New Roman"/>
          <w:sz w:val="26"/>
          <w:szCs w:val="26"/>
          <w:lang w:val="uk-UA"/>
        </w:rPr>
        <w:t>.</w:t>
      </w:r>
    </w:p>
    <w:p w:rsidR="00C33805" w:rsidRDefault="00C33805" w:rsidP="00D16F2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8A734D" w:rsidRDefault="00D16F2D" w:rsidP="00D16F2D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D16F2D">
        <w:rPr>
          <w:rFonts w:ascii="Times New Roman" w:hAnsi="Times New Roman"/>
          <w:sz w:val="26"/>
          <w:szCs w:val="26"/>
          <w:lang w:val="uk-UA"/>
        </w:rPr>
        <w:t xml:space="preserve">         </w:t>
      </w:r>
      <w:r w:rsidRPr="00D16F2D">
        <w:rPr>
          <w:rFonts w:ascii="Times New Roman" w:hAnsi="Times New Roman"/>
          <w:b/>
          <w:sz w:val="26"/>
          <w:szCs w:val="26"/>
          <w:lang w:val="uk-UA"/>
        </w:rPr>
        <w:t>Власні надходження</w:t>
      </w:r>
      <w:r w:rsidRPr="00D16F2D">
        <w:rPr>
          <w:rFonts w:ascii="Times New Roman" w:hAnsi="Times New Roman"/>
          <w:sz w:val="26"/>
          <w:szCs w:val="26"/>
          <w:lang w:val="uk-UA"/>
        </w:rPr>
        <w:t xml:space="preserve"> бюджетних установ за січень - березень 2016 року становлять 2 631,7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>.</w:t>
      </w:r>
    </w:p>
    <w:p w:rsidR="001143E3" w:rsidRDefault="001143E3" w:rsidP="00D16F2D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</w:t>
      </w:r>
    </w:p>
    <w:p w:rsidR="00FE4894" w:rsidRDefault="001143E3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Відповідно до </w:t>
      </w:r>
      <w:r w:rsidRPr="001143E3">
        <w:rPr>
          <w:rFonts w:ascii="Times New Roman" w:hAnsi="Times New Roman"/>
          <w:sz w:val="26"/>
          <w:szCs w:val="26"/>
          <w:lang w:val="uk-UA"/>
        </w:rPr>
        <w:t>Закон</w:t>
      </w:r>
      <w:r>
        <w:rPr>
          <w:rFonts w:ascii="Times New Roman" w:hAnsi="Times New Roman"/>
          <w:sz w:val="26"/>
          <w:szCs w:val="26"/>
          <w:lang w:val="uk-UA"/>
        </w:rPr>
        <w:t>у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України від 24.12.2015р. № 918-VIII "Про внесення змін до Бюджетного кодексу України щодо цільового спрямування екологічного податку" до надходжень спеціального фонду належить </w:t>
      </w:r>
      <w:r w:rsidRPr="001143E3">
        <w:rPr>
          <w:rFonts w:ascii="Times New Roman" w:hAnsi="Times New Roman"/>
          <w:b/>
          <w:sz w:val="26"/>
          <w:szCs w:val="26"/>
          <w:lang w:val="uk-UA"/>
        </w:rPr>
        <w:t>екологічний податок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(</w:t>
      </w:r>
      <w:r w:rsidR="008A734D">
        <w:rPr>
          <w:rFonts w:ascii="Times New Roman" w:hAnsi="Times New Roman"/>
          <w:sz w:val="26"/>
          <w:szCs w:val="26"/>
          <w:lang w:val="uk-UA"/>
        </w:rPr>
        <w:t xml:space="preserve">в минулому році цей податок надходив </w:t>
      </w:r>
      <w:r w:rsidRPr="001143E3">
        <w:rPr>
          <w:rFonts w:ascii="Times New Roman" w:hAnsi="Times New Roman"/>
          <w:sz w:val="26"/>
          <w:szCs w:val="26"/>
          <w:lang w:val="uk-UA"/>
        </w:rPr>
        <w:t>до загального фонду).</w:t>
      </w:r>
    </w:p>
    <w:p w:rsidR="001143E3" w:rsidRPr="001143E3" w:rsidRDefault="001143E3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За звітний період надійшло екологічного податку в сумі 45,7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., </w:t>
      </w:r>
      <w:r w:rsidR="008A734D">
        <w:rPr>
          <w:rFonts w:ascii="Times New Roman" w:hAnsi="Times New Roman"/>
          <w:sz w:val="26"/>
          <w:szCs w:val="26"/>
          <w:lang w:val="uk-UA"/>
        </w:rPr>
        <w:t xml:space="preserve">що становить 101,9 % </w:t>
      </w:r>
      <w:r>
        <w:rPr>
          <w:rFonts w:ascii="Times New Roman" w:hAnsi="Times New Roman"/>
          <w:sz w:val="26"/>
          <w:szCs w:val="26"/>
          <w:lang w:val="uk-UA"/>
        </w:rPr>
        <w:t>планов</w:t>
      </w:r>
      <w:r w:rsidR="008A734D">
        <w:rPr>
          <w:rFonts w:ascii="Times New Roman" w:hAnsi="Times New Roman"/>
          <w:sz w:val="26"/>
          <w:szCs w:val="26"/>
          <w:lang w:val="uk-UA"/>
        </w:rPr>
        <w:t>их</w:t>
      </w:r>
      <w:r>
        <w:rPr>
          <w:rFonts w:ascii="Times New Roman" w:hAnsi="Times New Roman"/>
          <w:sz w:val="26"/>
          <w:szCs w:val="26"/>
          <w:lang w:val="uk-UA"/>
        </w:rPr>
        <w:t xml:space="preserve"> показник</w:t>
      </w:r>
      <w:r w:rsidR="008A734D">
        <w:rPr>
          <w:rFonts w:ascii="Times New Roman" w:hAnsi="Times New Roman"/>
          <w:sz w:val="26"/>
          <w:szCs w:val="26"/>
          <w:lang w:val="uk-UA"/>
        </w:rPr>
        <w:t>ів</w:t>
      </w:r>
      <w:r>
        <w:rPr>
          <w:rFonts w:ascii="Times New Roman" w:hAnsi="Times New Roman"/>
          <w:sz w:val="26"/>
          <w:szCs w:val="26"/>
          <w:lang w:val="uk-UA"/>
        </w:rPr>
        <w:t xml:space="preserve"> 1 кварталу</w:t>
      </w:r>
      <w:r w:rsidR="008A734D">
        <w:rPr>
          <w:rFonts w:ascii="Times New Roman" w:hAnsi="Times New Roman"/>
          <w:sz w:val="26"/>
          <w:szCs w:val="26"/>
          <w:lang w:val="uk-UA"/>
        </w:rPr>
        <w:t>.</w:t>
      </w:r>
    </w:p>
    <w:p w:rsidR="001143E3" w:rsidRDefault="001143E3" w:rsidP="00F85F14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      Виходячи з обсягу отриманих доходів та вільного залишку коштів на початок 2016 року, </w:t>
      </w:r>
      <w:r w:rsidRPr="001143E3">
        <w:rPr>
          <w:rFonts w:ascii="Times New Roman" w:hAnsi="Times New Roman"/>
          <w:b/>
          <w:sz w:val="26"/>
          <w:szCs w:val="26"/>
          <w:lang w:val="uk-UA"/>
        </w:rPr>
        <w:t xml:space="preserve">видатки </w:t>
      </w:r>
      <w:r w:rsidR="008A734D">
        <w:rPr>
          <w:rFonts w:ascii="Times New Roman" w:hAnsi="Times New Roman"/>
          <w:b/>
          <w:sz w:val="26"/>
          <w:szCs w:val="26"/>
          <w:lang w:val="uk-UA"/>
        </w:rPr>
        <w:t xml:space="preserve">міського </w:t>
      </w:r>
      <w:r w:rsidRPr="001143E3">
        <w:rPr>
          <w:rFonts w:ascii="Times New Roman" w:hAnsi="Times New Roman"/>
          <w:b/>
          <w:sz w:val="26"/>
          <w:szCs w:val="26"/>
          <w:lang w:val="uk-UA"/>
        </w:rPr>
        <w:t>бюджету міста Чорноморська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за звітний період проведені  </w:t>
      </w:r>
      <w:r w:rsidRPr="001143E3">
        <w:rPr>
          <w:rFonts w:ascii="Times New Roman" w:hAnsi="Times New Roman"/>
          <w:b/>
          <w:sz w:val="26"/>
          <w:szCs w:val="26"/>
          <w:lang w:val="uk-UA"/>
        </w:rPr>
        <w:t>в сумі  109 676,5  тис. грн.</w:t>
      </w:r>
    </w:p>
    <w:p w:rsid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      Структуру видатків складають видатки на утримання  бюджетних установ,  житлово-комунального господарства,  реалізацію міських   програм соціально-економічного та культурного розвитку міста, соціальний захист  та  соціальне  забезпечення  населення,  утримання об’єктів соціальної і інженерної інфраструктури Чорноморської міської ради, за такими напрямками :</w:t>
      </w:r>
    </w:p>
    <w:p w:rsidR="001E6735" w:rsidRDefault="001E6735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E6735" w:rsidRPr="001E6735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E6735">
        <w:rPr>
          <w:rFonts w:ascii="Times New Roman" w:hAnsi="Times New Roman"/>
          <w:sz w:val="26"/>
          <w:szCs w:val="26"/>
          <w:lang w:val="uk-UA"/>
        </w:rPr>
        <w:t xml:space="preserve">     - </w:t>
      </w:r>
      <w:r w:rsidRPr="001E6735">
        <w:rPr>
          <w:rFonts w:ascii="Times New Roman" w:hAnsi="Times New Roman"/>
          <w:b/>
          <w:sz w:val="26"/>
          <w:szCs w:val="26"/>
          <w:lang w:val="uk-UA"/>
        </w:rPr>
        <w:t>освіта</w:t>
      </w:r>
      <w:r w:rsidRPr="001E6735">
        <w:rPr>
          <w:rFonts w:ascii="Times New Roman" w:hAnsi="Times New Roman"/>
          <w:sz w:val="26"/>
          <w:szCs w:val="26"/>
          <w:lang w:val="uk-UA"/>
        </w:rPr>
        <w:t xml:space="preserve"> –  35 281,6  тис. грн. ( 32,2</w:t>
      </w:r>
      <w:r w:rsidRPr="001E6735">
        <w:rPr>
          <w:rFonts w:ascii="Times New Roman" w:hAnsi="Times New Roman"/>
          <w:sz w:val="26"/>
          <w:szCs w:val="26"/>
        </w:rPr>
        <w:t xml:space="preserve"> </w:t>
      </w:r>
      <w:r w:rsidRPr="001E6735">
        <w:rPr>
          <w:rFonts w:ascii="Times New Roman" w:hAnsi="Times New Roman"/>
          <w:sz w:val="26"/>
          <w:szCs w:val="26"/>
          <w:lang w:val="uk-UA"/>
        </w:rPr>
        <w:t xml:space="preserve"> % проведених видатків)</w:t>
      </w:r>
      <w:r w:rsidR="001E6735" w:rsidRPr="001E6735">
        <w:rPr>
          <w:rFonts w:ascii="Times New Roman" w:hAnsi="Times New Roman"/>
          <w:sz w:val="26"/>
          <w:szCs w:val="26"/>
          <w:lang w:val="uk-UA"/>
        </w:rPr>
        <w:t>.</w:t>
      </w:r>
    </w:p>
    <w:p w:rsidR="008A734D" w:rsidRDefault="008A734D" w:rsidP="001E6735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     В загальних видатках на освіту, складають видатки на утримання професійно - технічної освіти в сумі 3 429,9 </w:t>
      </w:r>
      <w:proofErr w:type="spellStart"/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тис.грн</w:t>
      </w:r>
      <w:proofErr w:type="spellEnd"/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., фінансування якої з 2016 року передано на бюджети міст обласного значення відповідно до З</w:t>
      </w:r>
      <w:r w:rsidR="001E6735"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акон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у</w:t>
      </w:r>
      <w:r w:rsidR="001E6735"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України </w:t>
      </w:r>
      <w:r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від 24.12.2015р. № 914-VIII </w:t>
      </w:r>
      <w:r w:rsidR="001E6735"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"Про внесення змін до Бюджетного кодексу України"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.</w:t>
      </w:r>
    </w:p>
    <w:p w:rsidR="008A734D" w:rsidRDefault="001E6735" w:rsidP="001E6735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</w:pPr>
      <w:r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</w:t>
      </w:r>
      <w:r w:rsidR="008A734D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      В місті Чорноморську функціонують два заклади професійно - технічної освіти:</w:t>
      </w:r>
    </w:p>
    <w:p w:rsidR="001E6735" w:rsidRDefault="001E6735" w:rsidP="001E6735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- </w:t>
      </w:r>
      <w:r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Д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 xml:space="preserve">ержавний навчальний заклад </w:t>
      </w:r>
      <w:r w:rsidRPr="001E6735"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"Іллічівський професійний судноремонтний ліцей"</w:t>
      </w:r>
      <w:r>
        <w:rPr>
          <w:rFonts w:ascii="Times New Roman" w:hAnsi="Times New Roman" w:cs="Times New Roman"/>
          <w:b w:val="0"/>
          <w:color w:val="auto"/>
          <w:sz w:val="26"/>
          <w:szCs w:val="26"/>
          <w:lang w:val="uk-UA"/>
        </w:rPr>
        <w:t>;</w:t>
      </w:r>
    </w:p>
    <w:p w:rsidR="001E6735" w:rsidRDefault="001E6735" w:rsidP="001E6735">
      <w:pPr>
        <w:rPr>
          <w:rFonts w:ascii="Times New Roman" w:hAnsi="Times New Roman"/>
          <w:sz w:val="26"/>
          <w:szCs w:val="26"/>
          <w:lang w:val="uk-UA"/>
        </w:rPr>
      </w:pPr>
      <w:r w:rsidRPr="001E6735">
        <w:rPr>
          <w:rFonts w:ascii="Times New Roman" w:hAnsi="Times New Roman"/>
          <w:sz w:val="26"/>
          <w:szCs w:val="26"/>
          <w:lang w:val="uk-UA"/>
        </w:rPr>
        <w:t xml:space="preserve">- Іллічівський морський коледж </w:t>
      </w:r>
      <w:r>
        <w:rPr>
          <w:rFonts w:ascii="Times New Roman" w:hAnsi="Times New Roman"/>
          <w:sz w:val="26"/>
          <w:szCs w:val="26"/>
          <w:lang w:val="uk-UA"/>
        </w:rPr>
        <w:t>Одеського національного морського університету.</w:t>
      </w:r>
    </w:p>
    <w:p w:rsidR="00540B5E" w:rsidRDefault="00540B5E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E6735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lastRenderedPageBreak/>
        <w:t xml:space="preserve">     - </w:t>
      </w:r>
      <w:r w:rsidRPr="001E6735">
        <w:rPr>
          <w:rFonts w:ascii="Times New Roman" w:hAnsi="Times New Roman"/>
          <w:b/>
          <w:sz w:val="26"/>
          <w:szCs w:val="26"/>
          <w:lang w:val="uk-UA"/>
        </w:rPr>
        <w:t>соціальний захист та соціальне забезпечення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– 32 369,1  тис. грн. ( 29,5  %);</w:t>
      </w:r>
      <w:r w:rsidRPr="001143E3">
        <w:rPr>
          <w:rFonts w:ascii="Times New Roman" w:hAnsi="Times New Roman"/>
          <w:sz w:val="26"/>
          <w:szCs w:val="26"/>
          <w:lang w:val="uk-UA"/>
        </w:rPr>
        <w:cr/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    - </w:t>
      </w:r>
      <w:r w:rsidRPr="001E6735">
        <w:rPr>
          <w:rFonts w:ascii="Times New Roman" w:hAnsi="Times New Roman"/>
          <w:b/>
          <w:sz w:val="26"/>
          <w:szCs w:val="26"/>
          <w:lang w:val="uk-UA"/>
        </w:rPr>
        <w:t>житлово-комунальне господарство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– 8 760,0 тис.  грн. ( 8,0 % );</w:t>
      </w:r>
    </w:p>
    <w:p w:rsidR="001E6735" w:rsidRDefault="001E6735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E6735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    - </w:t>
      </w:r>
      <w:r w:rsidRPr="001E6735">
        <w:rPr>
          <w:rFonts w:ascii="Times New Roman" w:hAnsi="Times New Roman"/>
          <w:b/>
          <w:sz w:val="26"/>
          <w:szCs w:val="26"/>
          <w:lang w:val="uk-UA"/>
        </w:rPr>
        <w:t>функціонування місцевого самоврядування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– 6 325,9 тис. грн. ( 5,7 % );</w:t>
      </w:r>
      <w:r w:rsidRPr="001143E3">
        <w:rPr>
          <w:rFonts w:ascii="Times New Roman" w:hAnsi="Times New Roman"/>
          <w:sz w:val="26"/>
          <w:szCs w:val="26"/>
          <w:lang w:val="uk-UA"/>
        </w:rPr>
        <w:cr/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    - </w:t>
      </w:r>
      <w:r w:rsidRPr="001E6735">
        <w:rPr>
          <w:rFonts w:ascii="Times New Roman" w:hAnsi="Times New Roman"/>
          <w:b/>
          <w:sz w:val="26"/>
          <w:szCs w:val="26"/>
          <w:lang w:val="uk-UA"/>
        </w:rPr>
        <w:t>інші заходи, пов'язані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E6735">
        <w:rPr>
          <w:rFonts w:ascii="Times New Roman" w:hAnsi="Times New Roman"/>
          <w:b/>
          <w:sz w:val="26"/>
          <w:szCs w:val="26"/>
          <w:lang w:val="uk-UA"/>
        </w:rPr>
        <w:t>з економічною діяльністю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– 2 393,0 тис. грн. (2,2 %),  із яких надано фінансову підтримку комунальним підприємствам :</w:t>
      </w:r>
    </w:p>
    <w:p w:rsidR="001143E3" w:rsidRPr="001143E3" w:rsidRDefault="001143E3" w:rsidP="001143E3">
      <w:pPr>
        <w:pStyle w:val="a9"/>
        <w:numPr>
          <w:ilvl w:val="0"/>
          <w:numId w:val="6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1143E3">
        <w:rPr>
          <w:sz w:val="26"/>
          <w:szCs w:val="26"/>
          <w:lang w:val="uk-UA"/>
        </w:rPr>
        <w:t>"</w:t>
      </w:r>
      <w:proofErr w:type="spellStart"/>
      <w:r w:rsidRPr="001143E3">
        <w:rPr>
          <w:sz w:val="26"/>
          <w:szCs w:val="26"/>
          <w:lang w:val="uk-UA"/>
        </w:rPr>
        <w:t>Іллічівськводоканал</w:t>
      </w:r>
      <w:proofErr w:type="spellEnd"/>
      <w:r w:rsidRPr="001143E3">
        <w:rPr>
          <w:sz w:val="26"/>
          <w:szCs w:val="26"/>
          <w:lang w:val="uk-UA"/>
        </w:rPr>
        <w:t>" - 2 000,0 тис. грн.;</w:t>
      </w:r>
    </w:p>
    <w:p w:rsidR="001143E3" w:rsidRPr="001143E3" w:rsidRDefault="001143E3" w:rsidP="001143E3">
      <w:pPr>
        <w:pStyle w:val="a9"/>
        <w:numPr>
          <w:ilvl w:val="0"/>
          <w:numId w:val="6"/>
        </w:numPr>
        <w:spacing w:line="276" w:lineRule="auto"/>
        <w:ind w:left="1276" w:hanging="142"/>
        <w:jc w:val="both"/>
        <w:rPr>
          <w:sz w:val="26"/>
          <w:szCs w:val="26"/>
          <w:lang w:val="uk-UA"/>
        </w:rPr>
      </w:pPr>
      <w:r w:rsidRPr="001143E3">
        <w:rPr>
          <w:sz w:val="26"/>
          <w:szCs w:val="26"/>
          <w:lang w:val="uk-UA"/>
        </w:rPr>
        <w:t>"Муніципальна охорона" – 393,0 тис. грн.</w:t>
      </w:r>
    </w:p>
    <w:p w:rsidR="001E6735" w:rsidRDefault="001E6735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    - </w:t>
      </w:r>
      <w:r w:rsidRPr="001E6735">
        <w:rPr>
          <w:rFonts w:ascii="Times New Roman" w:hAnsi="Times New Roman"/>
          <w:b/>
          <w:sz w:val="26"/>
          <w:szCs w:val="26"/>
          <w:lang w:val="uk-UA"/>
        </w:rPr>
        <w:t>культура та мистецтво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 – 3 397,7 тис.  грн. (3,1 % );</w:t>
      </w:r>
    </w:p>
    <w:p w:rsidR="001E6735" w:rsidRDefault="001E6735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    - </w:t>
      </w:r>
      <w:r w:rsidRPr="001E6735">
        <w:rPr>
          <w:rFonts w:ascii="Times New Roman" w:hAnsi="Times New Roman"/>
          <w:b/>
          <w:sz w:val="26"/>
          <w:szCs w:val="26"/>
          <w:lang w:val="uk-UA"/>
        </w:rPr>
        <w:t>субвенція з міського бюджету державному бюджету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 на виконання  програм  соціально - економічного  та  культурного розвитку - 8 082,5 тис. грн. ( 7,4 % ),  які             профінансовані :</w:t>
      </w:r>
    </w:p>
    <w:p w:rsidR="001143E3" w:rsidRPr="001143E3" w:rsidRDefault="001143E3" w:rsidP="001143E3">
      <w:pPr>
        <w:pStyle w:val="a9"/>
        <w:numPr>
          <w:ilvl w:val="0"/>
          <w:numId w:val="7"/>
        </w:numPr>
        <w:spacing w:line="276" w:lineRule="auto"/>
        <w:ind w:left="1134" w:firstLine="0"/>
        <w:jc w:val="both"/>
        <w:rPr>
          <w:sz w:val="26"/>
          <w:szCs w:val="26"/>
          <w:lang w:val="uk-UA"/>
        </w:rPr>
      </w:pPr>
      <w:r w:rsidRPr="001143E3">
        <w:rPr>
          <w:sz w:val="26"/>
          <w:szCs w:val="26"/>
          <w:lang w:val="uk-UA"/>
        </w:rPr>
        <w:t xml:space="preserve">головному управлінню державної служби надзвичайних ситуацій -                    1 100,0 </w:t>
      </w:r>
      <w:proofErr w:type="spellStart"/>
      <w:r w:rsidRPr="001143E3">
        <w:rPr>
          <w:sz w:val="26"/>
          <w:szCs w:val="26"/>
          <w:lang w:val="uk-UA"/>
        </w:rPr>
        <w:t>тис.грн</w:t>
      </w:r>
      <w:proofErr w:type="spellEnd"/>
      <w:r w:rsidRPr="001143E3">
        <w:rPr>
          <w:sz w:val="26"/>
          <w:szCs w:val="26"/>
          <w:lang w:val="uk-UA"/>
        </w:rPr>
        <w:t>.,</w:t>
      </w:r>
    </w:p>
    <w:p w:rsidR="001143E3" w:rsidRPr="001143E3" w:rsidRDefault="001143E3" w:rsidP="001143E3">
      <w:pPr>
        <w:pStyle w:val="a9"/>
        <w:numPr>
          <w:ilvl w:val="0"/>
          <w:numId w:val="7"/>
        </w:numPr>
        <w:ind w:left="1134" w:firstLine="0"/>
        <w:jc w:val="both"/>
        <w:rPr>
          <w:sz w:val="26"/>
          <w:szCs w:val="26"/>
          <w:lang w:val="uk-UA"/>
        </w:rPr>
      </w:pPr>
      <w:r w:rsidRPr="001143E3">
        <w:rPr>
          <w:sz w:val="26"/>
          <w:szCs w:val="26"/>
          <w:lang w:val="uk-UA"/>
        </w:rPr>
        <w:t xml:space="preserve">державному закладу "Іллічівська басейнова лікарня на водному транспорті"  -   6 931,0 </w:t>
      </w:r>
      <w:proofErr w:type="spellStart"/>
      <w:r w:rsidRPr="001143E3">
        <w:rPr>
          <w:sz w:val="26"/>
          <w:szCs w:val="26"/>
          <w:lang w:val="uk-UA"/>
        </w:rPr>
        <w:t>тис.грн</w:t>
      </w:r>
      <w:proofErr w:type="spellEnd"/>
      <w:r w:rsidRPr="001143E3">
        <w:rPr>
          <w:sz w:val="26"/>
          <w:szCs w:val="26"/>
          <w:lang w:val="uk-UA"/>
        </w:rPr>
        <w:t>.,</w:t>
      </w:r>
    </w:p>
    <w:p w:rsidR="001143E3" w:rsidRPr="001143E3" w:rsidRDefault="001143E3" w:rsidP="001143E3">
      <w:pPr>
        <w:pStyle w:val="a9"/>
        <w:numPr>
          <w:ilvl w:val="0"/>
          <w:numId w:val="7"/>
        </w:numPr>
        <w:ind w:left="1134" w:firstLine="0"/>
        <w:jc w:val="both"/>
        <w:rPr>
          <w:sz w:val="26"/>
          <w:szCs w:val="26"/>
          <w:lang w:val="uk-UA"/>
        </w:rPr>
      </w:pPr>
      <w:r w:rsidRPr="001143E3">
        <w:rPr>
          <w:sz w:val="26"/>
          <w:szCs w:val="26"/>
          <w:lang w:val="uk-UA"/>
        </w:rPr>
        <w:t xml:space="preserve">управлінню державної казначейської служби України у </w:t>
      </w:r>
      <w:proofErr w:type="spellStart"/>
      <w:r w:rsidRPr="001143E3">
        <w:rPr>
          <w:sz w:val="26"/>
          <w:szCs w:val="26"/>
          <w:lang w:val="uk-UA"/>
        </w:rPr>
        <w:t>м.Іллічівську</w:t>
      </w:r>
      <w:proofErr w:type="spellEnd"/>
      <w:r w:rsidRPr="001143E3">
        <w:rPr>
          <w:sz w:val="26"/>
          <w:szCs w:val="26"/>
          <w:lang w:val="uk-UA"/>
        </w:rPr>
        <w:t xml:space="preserve"> -                  51,5 </w:t>
      </w:r>
      <w:proofErr w:type="spellStart"/>
      <w:r w:rsidRPr="001143E3">
        <w:rPr>
          <w:sz w:val="26"/>
          <w:szCs w:val="26"/>
          <w:lang w:val="uk-UA"/>
        </w:rPr>
        <w:t>тис.грн</w:t>
      </w:r>
      <w:proofErr w:type="spellEnd"/>
      <w:r w:rsidRPr="001143E3">
        <w:rPr>
          <w:sz w:val="26"/>
          <w:szCs w:val="26"/>
          <w:lang w:val="uk-UA"/>
        </w:rPr>
        <w:t>.</w:t>
      </w:r>
    </w:p>
    <w:p w:rsidR="001E6735" w:rsidRDefault="001E6735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    - </w:t>
      </w:r>
      <w:r w:rsidRPr="001E6735">
        <w:rPr>
          <w:rFonts w:ascii="Times New Roman" w:hAnsi="Times New Roman"/>
          <w:b/>
          <w:sz w:val="26"/>
          <w:szCs w:val="26"/>
          <w:lang w:val="uk-UA"/>
        </w:rPr>
        <w:t>фізична культура та спорт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143E3">
        <w:rPr>
          <w:rFonts w:ascii="Times New Roman" w:hAnsi="Times New Roman"/>
          <w:b/>
          <w:sz w:val="26"/>
          <w:szCs w:val="26"/>
          <w:lang w:val="uk-UA"/>
        </w:rPr>
        <w:t xml:space="preserve">– </w:t>
      </w:r>
      <w:r w:rsidRPr="001143E3">
        <w:rPr>
          <w:rFonts w:ascii="Times New Roman" w:hAnsi="Times New Roman"/>
          <w:sz w:val="26"/>
          <w:szCs w:val="26"/>
          <w:lang w:val="uk-UA"/>
        </w:rPr>
        <w:t>989,5 тис. грн. ( 0,9 % );</w:t>
      </w:r>
    </w:p>
    <w:p w:rsidR="001E6735" w:rsidRDefault="001E6735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    - </w:t>
      </w:r>
      <w:r w:rsidRPr="001E6735">
        <w:rPr>
          <w:rFonts w:ascii="Times New Roman" w:hAnsi="Times New Roman"/>
          <w:b/>
          <w:sz w:val="26"/>
          <w:szCs w:val="26"/>
          <w:lang w:val="uk-UA"/>
        </w:rPr>
        <w:t>засоби масової інформації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–  615,5  тис. грн. (0,6 % );</w:t>
      </w:r>
    </w:p>
    <w:p w:rsidR="001E6735" w:rsidRDefault="001E6735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    - </w:t>
      </w:r>
      <w:r w:rsidRPr="001E6735">
        <w:rPr>
          <w:rFonts w:ascii="Times New Roman" w:hAnsi="Times New Roman"/>
          <w:b/>
          <w:sz w:val="26"/>
          <w:szCs w:val="26"/>
          <w:lang w:val="uk-UA"/>
        </w:rPr>
        <w:t>реверсна дотація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(кошти, що перераховані державному бюджету) - </w:t>
      </w:r>
      <w:r w:rsidR="00540B5E">
        <w:rPr>
          <w:rFonts w:ascii="Times New Roman" w:hAnsi="Times New Roman"/>
          <w:sz w:val="26"/>
          <w:szCs w:val="26"/>
          <w:lang w:val="uk-UA"/>
        </w:rPr>
        <w:t xml:space="preserve">                    </w:t>
      </w:r>
      <w:r w:rsidRPr="001143E3">
        <w:rPr>
          <w:rFonts w:ascii="Times New Roman" w:hAnsi="Times New Roman"/>
          <w:sz w:val="26"/>
          <w:szCs w:val="26"/>
          <w:lang w:val="uk-UA"/>
        </w:rPr>
        <w:t>5 691,0 тис. грн.  (5,2 %);</w:t>
      </w:r>
    </w:p>
    <w:p w:rsidR="001E6735" w:rsidRDefault="001E6735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    - </w:t>
      </w:r>
      <w:r w:rsidRPr="001E6735">
        <w:rPr>
          <w:rFonts w:ascii="Times New Roman" w:hAnsi="Times New Roman"/>
          <w:b/>
          <w:sz w:val="26"/>
          <w:szCs w:val="26"/>
          <w:lang w:val="uk-UA"/>
        </w:rPr>
        <w:t>інші видатки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 – 5 770,7  тис. грн. (5,2 %).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highlight w:val="yellow"/>
          <w:lang w:val="uk-UA"/>
        </w:rPr>
        <w:t xml:space="preserve">     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    Основними напрямками використання бюджетних ресурсів є забезпечення асигнуваннями витрат на захищені статті, частка яких у видатковій частині загального фонду бюджету міста становить 78,7 відсотка, або 46 817,4 тис. гривень із  59 516,2 тис. гривень.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C1619C" w:rsidP="001143E3">
      <w:pPr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C1619C">
        <w:rPr>
          <w:rFonts w:ascii="Times New Roman" w:hAnsi="Times New Roman"/>
          <w:noProof/>
          <w:sz w:val="26"/>
          <w:szCs w:val="26"/>
        </w:rPr>
        <w:lastRenderedPageBreak/>
        <w:pict>
          <v:shape id="_x0000_s1030" type="#_x0000_t32" style="position:absolute;left:0;text-align:left;margin-left:1.95pt;margin-top:371.95pt;width:467.25pt;height:1.5pt;z-index:251656704" o:connectortype="straight"/>
        </w:pict>
      </w:r>
      <w:r w:rsidR="001143E3" w:rsidRPr="001143E3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940425" cy="4705350"/>
            <wp:effectExtent l="19050" t="0" r="22225" b="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E6735" w:rsidRDefault="001E6735" w:rsidP="001143E3">
      <w:pPr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highlight w:val="yellow"/>
          <w:lang w:val="uk-UA"/>
        </w:rPr>
      </w:pPr>
      <w:r w:rsidRPr="001143E3">
        <w:rPr>
          <w:rFonts w:ascii="Times New Roman" w:hAnsi="Times New Roman"/>
          <w:b/>
          <w:sz w:val="26"/>
          <w:szCs w:val="26"/>
          <w:lang w:val="uk-UA"/>
        </w:rPr>
        <w:t xml:space="preserve">     На соціальний захист та соціальне забезпечення (без соціальних субвенцій з державного бюджету)  спрямовано 8 559,6 тис. грн., що на 4 057,4 </w:t>
      </w:r>
      <w:proofErr w:type="spellStart"/>
      <w:r w:rsidRPr="001143E3">
        <w:rPr>
          <w:rFonts w:ascii="Times New Roman" w:hAnsi="Times New Roman"/>
          <w:b/>
          <w:sz w:val="26"/>
          <w:szCs w:val="26"/>
          <w:lang w:val="uk-UA"/>
        </w:rPr>
        <w:t>тис.грн</w:t>
      </w:r>
      <w:proofErr w:type="spellEnd"/>
      <w:r w:rsidRPr="001143E3">
        <w:rPr>
          <w:rFonts w:ascii="Times New Roman" w:hAnsi="Times New Roman"/>
          <w:b/>
          <w:sz w:val="26"/>
          <w:szCs w:val="26"/>
          <w:lang w:val="uk-UA"/>
        </w:rPr>
        <w:t>. більше проведених видатків за аналогічний період минулого року.</w:t>
      </w:r>
    </w:p>
    <w:p w:rsidR="001143E3" w:rsidRPr="001143E3" w:rsidRDefault="001143E3" w:rsidP="001143E3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center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>Зокрема, виділені кошти використані  за наступними напрямками: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>- безкоштовне харчування дітей з малозабезпечених сімей та  учнів 1-4 класів -                        1 559,7  тис. грн.;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- фруктові </w:t>
      </w:r>
      <w:proofErr w:type="spellStart"/>
      <w:r w:rsidRPr="001143E3">
        <w:rPr>
          <w:rFonts w:ascii="Times New Roman" w:hAnsi="Times New Roman"/>
          <w:sz w:val="26"/>
          <w:szCs w:val="26"/>
          <w:lang w:val="uk-UA"/>
        </w:rPr>
        <w:t>вітамінізіровані</w:t>
      </w:r>
      <w:proofErr w:type="spellEnd"/>
      <w:r w:rsidRPr="001143E3">
        <w:rPr>
          <w:rFonts w:ascii="Times New Roman" w:hAnsi="Times New Roman"/>
          <w:sz w:val="26"/>
          <w:szCs w:val="26"/>
          <w:lang w:val="uk-UA"/>
        </w:rPr>
        <w:t xml:space="preserve"> сніданки (яблуко) для учнів 1-4 класів - 217,5 тис. грн.;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highlight w:val="yellow"/>
          <w:lang w:val="uk-UA"/>
        </w:rPr>
      </w:pPr>
      <w:r w:rsidRPr="001143E3">
        <w:rPr>
          <w:rFonts w:ascii="Times New Roman" w:hAnsi="Times New Roman"/>
          <w:sz w:val="26"/>
          <w:szCs w:val="26"/>
          <w:highlight w:val="yellow"/>
          <w:lang w:val="uk-UA"/>
        </w:rPr>
        <w:t xml:space="preserve">   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>- надання щомісячної адресної матеріальної допомоги ветеранам педагогічної та медичної праці  - 152,1 тис. грн.;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>- надання одноразової допомоги учасникам бойових дій в Афганістані  -  187,7 тис. грн.;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>- виплата грошової компенсації фізичним особам, які надають соціальні послуги громадянам похилого віку, інвалідам, хворим, які нездатні до самообслуговування і потребують сторонньої допомоги - 101,6 тис. грн.;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>- надання пільг за житлово-комунальні послуги інвалідам по зору та Почесним громадянам міста - 124,9 тис. грн.;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lastRenderedPageBreak/>
        <w:t xml:space="preserve">- надання малозабезпеченим верствам населення міста адресної допомоги, адресної соціальної доплати, додаткових соціальних гарантій  з утримання будинків та прибудинкових територій - 3 294,5 тис. грн.; 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>- забезпечення безкоштовними медикаментами пільгової категорії громадян -               210,6 тис. грн. та безкоштовним зубопротезуванням - 215,5 тис. грн.;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- придбання </w:t>
      </w:r>
      <w:proofErr w:type="spellStart"/>
      <w:r w:rsidRPr="001143E3">
        <w:rPr>
          <w:rFonts w:ascii="Times New Roman" w:hAnsi="Times New Roman"/>
          <w:sz w:val="26"/>
          <w:szCs w:val="26"/>
          <w:lang w:val="uk-UA"/>
        </w:rPr>
        <w:t>імуносупресорів</w:t>
      </w:r>
      <w:proofErr w:type="spellEnd"/>
      <w:r w:rsidRPr="001143E3">
        <w:rPr>
          <w:rFonts w:ascii="Times New Roman" w:hAnsi="Times New Roman"/>
          <w:sz w:val="26"/>
          <w:szCs w:val="26"/>
          <w:lang w:val="uk-UA"/>
        </w:rPr>
        <w:t xml:space="preserve"> для пацієнтів з трансплантованими органами - </w:t>
      </w:r>
      <w:r w:rsidR="00540B5E">
        <w:rPr>
          <w:rFonts w:ascii="Times New Roman" w:hAnsi="Times New Roman"/>
          <w:sz w:val="26"/>
          <w:szCs w:val="26"/>
          <w:lang w:val="uk-UA"/>
        </w:rPr>
        <w:t xml:space="preserve">                    </w:t>
      </w:r>
      <w:r w:rsidRPr="001143E3">
        <w:rPr>
          <w:rFonts w:ascii="Times New Roman" w:hAnsi="Times New Roman"/>
          <w:sz w:val="26"/>
          <w:szCs w:val="26"/>
          <w:lang w:val="uk-UA"/>
        </w:rPr>
        <w:t>101,6 тис. грн.;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highlight w:val="yellow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- надання  матеріальної  допомоги  громадянам міста за їх заявами, які опинились у скрутному фінансовому становищі - 696,2 тис. грн.  (отримали таку допомогу </w:t>
      </w:r>
      <w:r w:rsidR="00540B5E">
        <w:rPr>
          <w:rFonts w:ascii="Times New Roman" w:hAnsi="Times New Roman"/>
          <w:sz w:val="26"/>
          <w:szCs w:val="26"/>
          <w:lang w:val="uk-UA"/>
        </w:rPr>
        <w:t xml:space="preserve">                 </w:t>
      </w:r>
      <w:r w:rsidRPr="001143E3">
        <w:rPr>
          <w:rFonts w:ascii="Times New Roman" w:hAnsi="Times New Roman"/>
          <w:sz w:val="26"/>
          <w:szCs w:val="26"/>
          <w:lang w:val="uk-UA"/>
        </w:rPr>
        <w:t>419 осіб);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- надання матеріальної допомоги мобілізованим особам, в т.ч. учасникам антитерористичної операції  та членам </w:t>
      </w:r>
      <w:proofErr w:type="spellStart"/>
      <w:r w:rsidRPr="001143E3">
        <w:rPr>
          <w:rFonts w:ascii="Times New Roman" w:hAnsi="Times New Roman"/>
          <w:sz w:val="26"/>
          <w:szCs w:val="26"/>
          <w:lang w:val="uk-UA"/>
        </w:rPr>
        <w:t>іх</w:t>
      </w:r>
      <w:proofErr w:type="spellEnd"/>
      <w:r w:rsidRPr="001143E3">
        <w:rPr>
          <w:rFonts w:ascii="Times New Roman" w:hAnsi="Times New Roman"/>
          <w:sz w:val="26"/>
          <w:szCs w:val="26"/>
          <w:lang w:val="uk-UA"/>
        </w:rPr>
        <w:t xml:space="preserve"> сімей - 98,2 </w:t>
      </w:r>
      <w:proofErr w:type="spellStart"/>
      <w:r w:rsidRPr="001143E3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1143E3">
        <w:rPr>
          <w:rFonts w:ascii="Times New Roman" w:hAnsi="Times New Roman"/>
          <w:sz w:val="26"/>
          <w:szCs w:val="26"/>
          <w:lang w:val="uk-UA"/>
        </w:rPr>
        <w:t>. (37 осіб).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Pr="001143E3">
        <w:rPr>
          <w:rFonts w:ascii="Times New Roman" w:hAnsi="Times New Roman"/>
          <w:b/>
          <w:sz w:val="26"/>
          <w:szCs w:val="26"/>
          <w:lang w:val="uk-UA"/>
        </w:rPr>
        <w:t>Видатки спеціального фонду міського бюджету склали 15 575,8 тис. грн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., із яких видатки бюджету  розвитку проведені в обсязі  12 838,1 тис. грн., або 82,4 % видатків спеціального фонду. </w:t>
      </w:r>
    </w:p>
    <w:p w:rsidR="001143E3" w:rsidRPr="001143E3" w:rsidRDefault="001143E3" w:rsidP="001143E3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center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>Основні напрями використання коштів бюджету розвитку: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- капітальний ремонт дошкільних і загальноосвітніх закладів освіти - </w:t>
      </w:r>
      <w:r w:rsidR="00540B5E">
        <w:rPr>
          <w:rFonts w:ascii="Times New Roman" w:hAnsi="Times New Roman"/>
          <w:sz w:val="26"/>
          <w:szCs w:val="26"/>
          <w:lang w:val="uk-UA"/>
        </w:rPr>
        <w:t xml:space="preserve">                                     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1 341,1  </w:t>
      </w:r>
      <w:proofErr w:type="spellStart"/>
      <w:r w:rsidRPr="001143E3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1143E3">
        <w:rPr>
          <w:rFonts w:ascii="Times New Roman" w:hAnsi="Times New Roman"/>
          <w:sz w:val="26"/>
          <w:szCs w:val="26"/>
          <w:lang w:val="uk-UA"/>
        </w:rPr>
        <w:t>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highlight w:val="yellow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- капітальний ремонт зовнішнього освітлення, у т.ч. техумови, проектування, експертиза - 15,7 </w:t>
      </w:r>
      <w:proofErr w:type="spellStart"/>
      <w:r w:rsidRPr="001143E3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1143E3">
        <w:rPr>
          <w:rFonts w:ascii="Times New Roman" w:hAnsi="Times New Roman"/>
          <w:sz w:val="26"/>
          <w:szCs w:val="26"/>
          <w:lang w:val="uk-UA"/>
        </w:rPr>
        <w:t>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- капітальний ремонт мереж водовідведення та водопостачання - 337,4 </w:t>
      </w:r>
      <w:proofErr w:type="spellStart"/>
      <w:r w:rsidRPr="001143E3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1143E3">
        <w:rPr>
          <w:rFonts w:ascii="Times New Roman" w:hAnsi="Times New Roman"/>
          <w:sz w:val="26"/>
          <w:szCs w:val="26"/>
          <w:lang w:val="uk-UA"/>
        </w:rPr>
        <w:t>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- реконструкція бойлерних та насосного обладнання на котельній № 2 - </w:t>
      </w:r>
      <w:r>
        <w:rPr>
          <w:rFonts w:ascii="Times New Roman" w:hAnsi="Times New Roman"/>
          <w:sz w:val="26"/>
          <w:szCs w:val="26"/>
          <w:lang w:val="uk-UA"/>
        </w:rPr>
        <w:t xml:space="preserve">                       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900,0 </w:t>
      </w:r>
      <w:proofErr w:type="spellStart"/>
      <w:r w:rsidRPr="001143E3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1143E3">
        <w:rPr>
          <w:rFonts w:ascii="Times New Roman" w:hAnsi="Times New Roman"/>
          <w:sz w:val="26"/>
          <w:szCs w:val="26"/>
          <w:lang w:val="uk-UA"/>
        </w:rPr>
        <w:t>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- реконструкція території гімназії № 1 в м. Іллічівську по вул. Шевченко, № 8 з будівництвом учбово-виховного комплексу початкової школи та гімназії на </w:t>
      </w:r>
      <w:r>
        <w:rPr>
          <w:rFonts w:ascii="Times New Roman" w:hAnsi="Times New Roman"/>
          <w:sz w:val="26"/>
          <w:szCs w:val="26"/>
          <w:lang w:val="uk-UA"/>
        </w:rPr>
        <w:t xml:space="preserve">                    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660 учнів. Будівництво учбово-виховного комплексу - 3 401,1 </w:t>
      </w:r>
      <w:proofErr w:type="spellStart"/>
      <w:r w:rsidRPr="001143E3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1143E3">
        <w:rPr>
          <w:rFonts w:ascii="Times New Roman" w:hAnsi="Times New Roman"/>
          <w:sz w:val="26"/>
          <w:szCs w:val="26"/>
          <w:lang w:val="uk-UA"/>
        </w:rPr>
        <w:t>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- будівництво малосімейного гуртожитку для працівників закладів освіти із зовнішніми інженерними мережами - 750,8 </w:t>
      </w:r>
      <w:proofErr w:type="spellStart"/>
      <w:r w:rsidRPr="001143E3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1143E3">
        <w:rPr>
          <w:rFonts w:ascii="Times New Roman" w:hAnsi="Times New Roman"/>
          <w:sz w:val="26"/>
          <w:szCs w:val="26"/>
          <w:lang w:val="uk-UA"/>
        </w:rPr>
        <w:t>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highlight w:val="yellow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 xml:space="preserve">- капітальний ремонт внутрішніх інженерних мереж та оздоблювальні роботи будівлі за адресою : вул. Шмідта, 33 в с. </w:t>
      </w:r>
      <w:proofErr w:type="spellStart"/>
      <w:r w:rsidRPr="001143E3">
        <w:rPr>
          <w:rFonts w:ascii="Times New Roman" w:hAnsi="Times New Roman"/>
          <w:sz w:val="26"/>
          <w:szCs w:val="26"/>
          <w:lang w:val="uk-UA"/>
        </w:rPr>
        <w:t>Малодолинське</w:t>
      </w:r>
      <w:proofErr w:type="spellEnd"/>
      <w:r w:rsidRPr="001143E3">
        <w:rPr>
          <w:rFonts w:ascii="Times New Roman" w:hAnsi="Times New Roman"/>
          <w:sz w:val="26"/>
          <w:szCs w:val="26"/>
          <w:lang w:val="uk-UA"/>
        </w:rPr>
        <w:t xml:space="preserve">  - 22,5 тис. грн.;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>- п</w:t>
      </w:r>
      <w:proofErr w:type="spellStart"/>
      <w:r w:rsidRPr="001143E3">
        <w:rPr>
          <w:rFonts w:ascii="Times New Roman" w:hAnsi="Times New Roman"/>
          <w:sz w:val="26"/>
          <w:szCs w:val="26"/>
        </w:rPr>
        <w:t>ротизсувні</w:t>
      </w:r>
      <w:proofErr w:type="spellEnd"/>
      <w:r w:rsidRPr="001143E3">
        <w:rPr>
          <w:rFonts w:ascii="Times New Roman" w:hAnsi="Times New Roman"/>
          <w:sz w:val="26"/>
          <w:szCs w:val="26"/>
        </w:rPr>
        <w:t xml:space="preserve"> заходи у </w:t>
      </w:r>
      <w:proofErr w:type="spellStart"/>
      <w:r w:rsidRPr="001143E3">
        <w:rPr>
          <w:rFonts w:ascii="Times New Roman" w:hAnsi="Times New Roman"/>
          <w:sz w:val="26"/>
          <w:szCs w:val="26"/>
        </w:rPr>
        <w:t>прибережній</w:t>
      </w:r>
      <w:proofErr w:type="spellEnd"/>
      <w:r w:rsidRPr="001143E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143E3">
        <w:rPr>
          <w:rFonts w:ascii="Times New Roman" w:hAnsi="Times New Roman"/>
          <w:sz w:val="26"/>
          <w:szCs w:val="26"/>
        </w:rPr>
        <w:t>зоні</w:t>
      </w:r>
      <w:proofErr w:type="spellEnd"/>
      <w:r w:rsidRPr="001143E3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Pr="001143E3">
        <w:rPr>
          <w:rFonts w:ascii="Times New Roman" w:hAnsi="Times New Roman"/>
          <w:sz w:val="26"/>
          <w:szCs w:val="26"/>
        </w:rPr>
        <w:t>районі</w:t>
      </w:r>
      <w:proofErr w:type="spellEnd"/>
      <w:r w:rsidRPr="001143E3">
        <w:rPr>
          <w:rFonts w:ascii="Times New Roman" w:hAnsi="Times New Roman"/>
          <w:sz w:val="26"/>
          <w:szCs w:val="26"/>
        </w:rPr>
        <w:t xml:space="preserve"> 9-го </w:t>
      </w:r>
      <w:proofErr w:type="spellStart"/>
      <w:r w:rsidRPr="001143E3">
        <w:rPr>
          <w:rFonts w:ascii="Times New Roman" w:hAnsi="Times New Roman"/>
          <w:sz w:val="26"/>
          <w:szCs w:val="26"/>
        </w:rPr>
        <w:t>мікрорайону</w:t>
      </w:r>
      <w:proofErr w:type="spellEnd"/>
      <w:r w:rsidRPr="001143E3">
        <w:rPr>
          <w:rFonts w:ascii="Times New Roman" w:hAnsi="Times New Roman"/>
          <w:sz w:val="26"/>
          <w:szCs w:val="26"/>
        </w:rPr>
        <w:t xml:space="preserve"> </w:t>
      </w:r>
      <w:r w:rsidR="00540B5E">
        <w:rPr>
          <w:rFonts w:ascii="Times New Roman" w:hAnsi="Times New Roman"/>
          <w:sz w:val="26"/>
          <w:szCs w:val="26"/>
          <w:lang w:val="uk-UA"/>
        </w:rPr>
        <w:t xml:space="preserve">                                    </w:t>
      </w:r>
      <w:r w:rsidRPr="001143E3">
        <w:rPr>
          <w:rFonts w:ascii="Times New Roman" w:hAnsi="Times New Roman"/>
          <w:sz w:val="26"/>
          <w:szCs w:val="26"/>
        </w:rPr>
        <w:t xml:space="preserve">м. 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Чорноморська -  </w:t>
      </w:r>
      <w:r>
        <w:rPr>
          <w:rFonts w:ascii="Times New Roman" w:hAnsi="Times New Roman"/>
          <w:sz w:val="26"/>
          <w:szCs w:val="26"/>
          <w:lang w:val="uk-UA"/>
        </w:rPr>
        <w:t>1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7,5 </w:t>
      </w:r>
      <w:proofErr w:type="spellStart"/>
      <w:r w:rsidRPr="001143E3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1143E3">
        <w:rPr>
          <w:rFonts w:ascii="Times New Roman" w:hAnsi="Times New Roman"/>
          <w:sz w:val="26"/>
          <w:szCs w:val="26"/>
          <w:lang w:val="uk-UA"/>
        </w:rPr>
        <w:t>.;</w:t>
      </w: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1143E3" w:rsidRPr="001143E3" w:rsidRDefault="001143E3" w:rsidP="001143E3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1143E3">
        <w:rPr>
          <w:rFonts w:ascii="Times New Roman" w:hAnsi="Times New Roman"/>
          <w:sz w:val="26"/>
          <w:szCs w:val="26"/>
          <w:lang w:val="uk-UA"/>
        </w:rPr>
        <w:t>- видатки на впровадження засобів обліку витрат те регулювання споживання води та теплової  енергії (</w:t>
      </w:r>
      <w:r w:rsidRPr="001143E3">
        <w:rPr>
          <w:rStyle w:val="hps"/>
          <w:rFonts w:ascii="Times New Roman" w:hAnsi="Times New Roman"/>
          <w:sz w:val="26"/>
          <w:szCs w:val="26"/>
          <w:lang w:val="uk-UA"/>
        </w:rPr>
        <w:t>установка</w:t>
      </w:r>
      <w:r w:rsidRPr="001143E3">
        <w:rPr>
          <w:rStyle w:val="shorttext"/>
          <w:rFonts w:ascii="Times New Roman" w:hAnsi="Times New Roman"/>
          <w:sz w:val="26"/>
          <w:szCs w:val="26"/>
          <w:lang w:val="uk-UA"/>
        </w:rPr>
        <w:t xml:space="preserve"> теплових </w:t>
      </w:r>
      <w:r w:rsidRPr="001143E3">
        <w:rPr>
          <w:rStyle w:val="hps"/>
          <w:rFonts w:ascii="Times New Roman" w:hAnsi="Times New Roman"/>
          <w:sz w:val="26"/>
          <w:szCs w:val="26"/>
          <w:lang w:val="uk-UA"/>
        </w:rPr>
        <w:t>лічильників</w:t>
      </w:r>
      <w:r w:rsidRPr="001143E3">
        <w:rPr>
          <w:rFonts w:ascii="Times New Roman" w:hAnsi="Times New Roman"/>
          <w:sz w:val="26"/>
          <w:szCs w:val="26"/>
          <w:lang w:val="uk-UA"/>
        </w:rPr>
        <w:t xml:space="preserve">) - 607,0 </w:t>
      </w:r>
      <w:proofErr w:type="spellStart"/>
      <w:r w:rsidRPr="001143E3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1143E3">
        <w:rPr>
          <w:rFonts w:ascii="Times New Roman" w:hAnsi="Times New Roman"/>
          <w:sz w:val="26"/>
          <w:szCs w:val="26"/>
          <w:lang w:val="uk-UA"/>
        </w:rPr>
        <w:t>.</w:t>
      </w:r>
    </w:p>
    <w:p w:rsidR="0010064E" w:rsidRPr="0010064E" w:rsidRDefault="00F85F14" w:rsidP="0010064E">
      <w:p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highlight w:val="yellow"/>
          <w:lang w:val="uk-UA"/>
        </w:rPr>
        <w:t xml:space="preserve">    </w:t>
      </w:r>
      <w:r w:rsidR="002F3CA6">
        <w:rPr>
          <w:rFonts w:ascii="Times New Roman" w:hAnsi="Times New Roman"/>
          <w:sz w:val="26"/>
          <w:szCs w:val="26"/>
          <w:highlight w:val="yellow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highlight w:val="yellow"/>
          <w:lang w:val="uk-UA"/>
        </w:rPr>
        <w:t xml:space="preserve"> </w:t>
      </w:r>
      <w:r w:rsidR="0010064E" w:rsidRPr="0010064E">
        <w:rPr>
          <w:rFonts w:ascii="Times New Roman" w:hAnsi="Times New Roman"/>
          <w:sz w:val="26"/>
          <w:szCs w:val="26"/>
          <w:highlight w:val="yellow"/>
          <w:lang w:val="uk-UA"/>
        </w:rPr>
        <w:t xml:space="preserve"> </w:t>
      </w:r>
    </w:p>
    <w:p w:rsidR="00FE4894" w:rsidRPr="001347F8" w:rsidRDefault="00FE4894" w:rsidP="001347F8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40B5E" w:rsidRDefault="002937CB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FE4894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9B6E2C" w:rsidRPr="00FE4894"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FE4894">
        <w:rPr>
          <w:rFonts w:ascii="Times New Roman" w:hAnsi="Times New Roman"/>
          <w:sz w:val="26"/>
          <w:szCs w:val="26"/>
          <w:lang w:val="uk-UA"/>
        </w:rPr>
        <w:t xml:space="preserve"> Начальник  фін</w:t>
      </w:r>
      <w:r w:rsidR="009E3683" w:rsidRPr="00FE4894">
        <w:rPr>
          <w:rFonts w:ascii="Times New Roman" w:hAnsi="Times New Roman"/>
          <w:sz w:val="26"/>
          <w:szCs w:val="26"/>
          <w:lang w:val="uk-UA"/>
        </w:rPr>
        <w:t xml:space="preserve">ансового </w:t>
      </w:r>
      <w:r w:rsidRPr="00FE4894">
        <w:rPr>
          <w:rFonts w:ascii="Times New Roman" w:hAnsi="Times New Roman"/>
          <w:sz w:val="26"/>
          <w:szCs w:val="26"/>
          <w:lang w:val="uk-UA"/>
        </w:rPr>
        <w:t xml:space="preserve">управління        </w:t>
      </w:r>
      <w:r w:rsidR="009E3683" w:rsidRPr="00FE4894"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FE4894"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FE4894">
        <w:rPr>
          <w:rFonts w:ascii="Times New Roman" w:hAnsi="Times New Roman"/>
          <w:sz w:val="26"/>
          <w:szCs w:val="26"/>
          <w:lang w:val="uk-UA"/>
        </w:rPr>
        <w:t xml:space="preserve">                        </w:t>
      </w:r>
      <w:r w:rsidR="009E3683" w:rsidRPr="00FE4894">
        <w:rPr>
          <w:rFonts w:ascii="Times New Roman" w:hAnsi="Times New Roman"/>
          <w:sz w:val="26"/>
          <w:szCs w:val="26"/>
          <w:lang w:val="uk-UA"/>
        </w:rPr>
        <w:t>О.М.Яковенко</w:t>
      </w:r>
      <w:r w:rsidRPr="00FE4894">
        <w:rPr>
          <w:rFonts w:ascii="Times New Roman" w:hAnsi="Times New Roman"/>
          <w:sz w:val="26"/>
          <w:szCs w:val="26"/>
          <w:lang w:val="uk-UA"/>
        </w:rPr>
        <w:t xml:space="preserve">       </w:t>
      </w:r>
    </w:p>
    <w:p w:rsidR="00877CB6" w:rsidRPr="00FE4894" w:rsidRDefault="002937CB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FE4894">
        <w:rPr>
          <w:rFonts w:ascii="Times New Roman" w:hAnsi="Times New Roman"/>
          <w:sz w:val="26"/>
          <w:szCs w:val="26"/>
          <w:lang w:val="uk-UA"/>
        </w:rPr>
        <w:lastRenderedPageBreak/>
        <w:t xml:space="preserve">    </w:t>
      </w:r>
    </w:p>
    <w:sectPr w:rsidR="00877CB6" w:rsidRPr="00FE4894" w:rsidSect="00540B5E">
      <w:pgSz w:w="11906" w:h="16838"/>
      <w:pgMar w:top="567" w:right="851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73C9"/>
    <w:multiLevelType w:val="hybridMultilevel"/>
    <w:tmpl w:val="AF68CC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143BF"/>
    <w:multiLevelType w:val="singleLevel"/>
    <w:tmpl w:val="51546510"/>
    <w:lvl w:ilvl="0">
      <w:numFmt w:val="bullet"/>
      <w:lvlText w:val="-"/>
      <w:lvlJc w:val="left"/>
      <w:pPr>
        <w:tabs>
          <w:tab w:val="num" w:pos="4005"/>
        </w:tabs>
        <w:ind w:left="4005" w:hanging="360"/>
      </w:pPr>
      <w:rPr>
        <w:rFonts w:ascii="Times New Roman" w:hAnsi="Times New Roman" w:hint="default"/>
      </w:rPr>
    </w:lvl>
  </w:abstractNum>
  <w:abstractNum w:abstractNumId="2">
    <w:nsid w:val="3DBC2444"/>
    <w:multiLevelType w:val="hybridMultilevel"/>
    <w:tmpl w:val="A57AB832"/>
    <w:lvl w:ilvl="0" w:tplc="3F6C6E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1E63FE"/>
    <w:multiLevelType w:val="hybridMultilevel"/>
    <w:tmpl w:val="3344121C"/>
    <w:lvl w:ilvl="0" w:tplc="315C20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5036F8"/>
    <w:multiLevelType w:val="singleLevel"/>
    <w:tmpl w:val="EABCDA84"/>
    <w:lvl w:ilvl="0">
      <w:numFmt w:val="bullet"/>
      <w:lvlText w:val="-"/>
      <w:lvlJc w:val="left"/>
      <w:pPr>
        <w:tabs>
          <w:tab w:val="num" w:pos="4155"/>
        </w:tabs>
        <w:ind w:left="4155" w:hanging="360"/>
      </w:pPr>
      <w:rPr>
        <w:rFonts w:ascii="Times New Roman" w:hAnsi="Times New Roman" w:hint="default"/>
      </w:rPr>
    </w:lvl>
  </w:abstractNum>
  <w:abstractNum w:abstractNumId="5">
    <w:nsid w:val="5AE8501B"/>
    <w:multiLevelType w:val="singleLevel"/>
    <w:tmpl w:val="E59C219C"/>
    <w:lvl w:ilvl="0">
      <w:numFmt w:val="bullet"/>
      <w:lvlText w:val="-"/>
      <w:lvlJc w:val="left"/>
      <w:pPr>
        <w:tabs>
          <w:tab w:val="num" w:pos="4290"/>
        </w:tabs>
        <w:ind w:left="4290" w:hanging="360"/>
      </w:pPr>
      <w:rPr>
        <w:rFonts w:ascii="Times New Roman" w:hAnsi="Times New Roman" w:hint="default"/>
      </w:rPr>
    </w:lvl>
  </w:abstractNum>
  <w:abstractNum w:abstractNumId="6">
    <w:nsid w:val="652F0958"/>
    <w:multiLevelType w:val="hybridMultilevel"/>
    <w:tmpl w:val="4B86C27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6362BE"/>
    <w:multiLevelType w:val="hybridMultilevel"/>
    <w:tmpl w:val="B66E1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E4302B"/>
    <w:multiLevelType w:val="hybridMultilevel"/>
    <w:tmpl w:val="5A68D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B46D7"/>
    <w:rsid w:val="00014A41"/>
    <w:rsid w:val="00016BFE"/>
    <w:rsid w:val="00020E86"/>
    <w:rsid w:val="000229BD"/>
    <w:rsid w:val="00030D7D"/>
    <w:rsid w:val="0003618E"/>
    <w:rsid w:val="00040D04"/>
    <w:rsid w:val="00060962"/>
    <w:rsid w:val="000664D6"/>
    <w:rsid w:val="000672AC"/>
    <w:rsid w:val="00067FDD"/>
    <w:rsid w:val="00075F56"/>
    <w:rsid w:val="00084726"/>
    <w:rsid w:val="00095008"/>
    <w:rsid w:val="000A131C"/>
    <w:rsid w:val="000B2D42"/>
    <w:rsid w:val="000C2322"/>
    <w:rsid w:val="000C38F8"/>
    <w:rsid w:val="000C6885"/>
    <w:rsid w:val="000C7ABA"/>
    <w:rsid w:val="000D3C66"/>
    <w:rsid w:val="000E64BC"/>
    <w:rsid w:val="000F0D97"/>
    <w:rsid w:val="000F77A1"/>
    <w:rsid w:val="0010064E"/>
    <w:rsid w:val="0010314D"/>
    <w:rsid w:val="00103B6C"/>
    <w:rsid w:val="001077C0"/>
    <w:rsid w:val="00111C33"/>
    <w:rsid w:val="001143E3"/>
    <w:rsid w:val="00125675"/>
    <w:rsid w:val="00126374"/>
    <w:rsid w:val="001347F8"/>
    <w:rsid w:val="001350CA"/>
    <w:rsid w:val="001426BF"/>
    <w:rsid w:val="0014617E"/>
    <w:rsid w:val="00152E5B"/>
    <w:rsid w:val="001536C2"/>
    <w:rsid w:val="00154335"/>
    <w:rsid w:val="00160AC0"/>
    <w:rsid w:val="001758A0"/>
    <w:rsid w:val="0018399C"/>
    <w:rsid w:val="001865CA"/>
    <w:rsid w:val="00190A6D"/>
    <w:rsid w:val="00193F70"/>
    <w:rsid w:val="001A030B"/>
    <w:rsid w:val="001A0452"/>
    <w:rsid w:val="001A0D23"/>
    <w:rsid w:val="001A5588"/>
    <w:rsid w:val="001B3B7D"/>
    <w:rsid w:val="001C5957"/>
    <w:rsid w:val="001D2609"/>
    <w:rsid w:val="001E243B"/>
    <w:rsid w:val="001E40BE"/>
    <w:rsid w:val="001E51B6"/>
    <w:rsid w:val="001E6735"/>
    <w:rsid w:val="001F6A89"/>
    <w:rsid w:val="00201475"/>
    <w:rsid w:val="0020577A"/>
    <w:rsid w:val="00205EAC"/>
    <w:rsid w:val="00207703"/>
    <w:rsid w:val="002133D0"/>
    <w:rsid w:val="0021696F"/>
    <w:rsid w:val="002363F7"/>
    <w:rsid w:val="00245052"/>
    <w:rsid w:val="00266654"/>
    <w:rsid w:val="00267AD2"/>
    <w:rsid w:val="002754B3"/>
    <w:rsid w:val="00281E08"/>
    <w:rsid w:val="00292395"/>
    <w:rsid w:val="002933D6"/>
    <w:rsid w:val="002937CB"/>
    <w:rsid w:val="002A11A0"/>
    <w:rsid w:val="002A4688"/>
    <w:rsid w:val="002A474A"/>
    <w:rsid w:val="002B169E"/>
    <w:rsid w:val="002B2BA0"/>
    <w:rsid w:val="002C18EE"/>
    <w:rsid w:val="002C6D4D"/>
    <w:rsid w:val="002D03DD"/>
    <w:rsid w:val="002D1E4E"/>
    <w:rsid w:val="002D55CE"/>
    <w:rsid w:val="002E2A76"/>
    <w:rsid w:val="002E685E"/>
    <w:rsid w:val="002E7F7E"/>
    <w:rsid w:val="002F0ADF"/>
    <w:rsid w:val="002F2E7F"/>
    <w:rsid w:val="002F336C"/>
    <w:rsid w:val="002F3A70"/>
    <w:rsid w:val="002F3CA6"/>
    <w:rsid w:val="002F4589"/>
    <w:rsid w:val="00305D92"/>
    <w:rsid w:val="003077C4"/>
    <w:rsid w:val="00313FA5"/>
    <w:rsid w:val="0031747B"/>
    <w:rsid w:val="003232BB"/>
    <w:rsid w:val="003237B6"/>
    <w:rsid w:val="00324097"/>
    <w:rsid w:val="0032488E"/>
    <w:rsid w:val="00326B37"/>
    <w:rsid w:val="00343CE9"/>
    <w:rsid w:val="00345CF2"/>
    <w:rsid w:val="00350B59"/>
    <w:rsid w:val="00353657"/>
    <w:rsid w:val="00361EBC"/>
    <w:rsid w:val="00370265"/>
    <w:rsid w:val="003738AA"/>
    <w:rsid w:val="00382596"/>
    <w:rsid w:val="0038415E"/>
    <w:rsid w:val="003867CF"/>
    <w:rsid w:val="00386EF6"/>
    <w:rsid w:val="00387F0A"/>
    <w:rsid w:val="0039074C"/>
    <w:rsid w:val="00390CFE"/>
    <w:rsid w:val="00393B76"/>
    <w:rsid w:val="00394DCB"/>
    <w:rsid w:val="0039514F"/>
    <w:rsid w:val="0039544B"/>
    <w:rsid w:val="003A4FDC"/>
    <w:rsid w:val="003B70AA"/>
    <w:rsid w:val="003C285A"/>
    <w:rsid w:val="003D1B2D"/>
    <w:rsid w:val="003E11AE"/>
    <w:rsid w:val="003E7823"/>
    <w:rsid w:val="003F268F"/>
    <w:rsid w:val="003F4823"/>
    <w:rsid w:val="003F4921"/>
    <w:rsid w:val="004042BC"/>
    <w:rsid w:val="004243A5"/>
    <w:rsid w:val="00431905"/>
    <w:rsid w:val="00440A46"/>
    <w:rsid w:val="0044248F"/>
    <w:rsid w:val="00450495"/>
    <w:rsid w:val="004512CA"/>
    <w:rsid w:val="00457895"/>
    <w:rsid w:val="0047075C"/>
    <w:rsid w:val="00470A4E"/>
    <w:rsid w:val="00473791"/>
    <w:rsid w:val="00481AD7"/>
    <w:rsid w:val="004916F7"/>
    <w:rsid w:val="00491AC7"/>
    <w:rsid w:val="00495800"/>
    <w:rsid w:val="004A2BD9"/>
    <w:rsid w:val="004A6B41"/>
    <w:rsid w:val="004A7241"/>
    <w:rsid w:val="004A72B8"/>
    <w:rsid w:val="004B08F4"/>
    <w:rsid w:val="004B0972"/>
    <w:rsid w:val="004B4DD3"/>
    <w:rsid w:val="004C03A1"/>
    <w:rsid w:val="004C23F4"/>
    <w:rsid w:val="004C4D84"/>
    <w:rsid w:val="004C5CF7"/>
    <w:rsid w:val="004C6681"/>
    <w:rsid w:val="004D16A0"/>
    <w:rsid w:val="004D7E07"/>
    <w:rsid w:val="004F02B6"/>
    <w:rsid w:val="004F0D91"/>
    <w:rsid w:val="004F34D7"/>
    <w:rsid w:val="004F6031"/>
    <w:rsid w:val="00500DE0"/>
    <w:rsid w:val="0051466D"/>
    <w:rsid w:val="005153B3"/>
    <w:rsid w:val="005172CB"/>
    <w:rsid w:val="0053108A"/>
    <w:rsid w:val="00531191"/>
    <w:rsid w:val="00540B5E"/>
    <w:rsid w:val="00541220"/>
    <w:rsid w:val="00544200"/>
    <w:rsid w:val="00545C82"/>
    <w:rsid w:val="00547932"/>
    <w:rsid w:val="005501E3"/>
    <w:rsid w:val="00560913"/>
    <w:rsid w:val="005610A5"/>
    <w:rsid w:val="00561679"/>
    <w:rsid w:val="00562E81"/>
    <w:rsid w:val="005673D1"/>
    <w:rsid w:val="00574759"/>
    <w:rsid w:val="0058250F"/>
    <w:rsid w:val="00583310"/>
    <w:rsid w:val="005963EB"/>
    <w:rsid w:val="005A04F4"/>
    <w:rsid w:val="005B086A"/>
    <w:rsid w:val="005B5EA6"/>
    <w:rsid w:val="005C6183"/>
    <w:rsid w:val="005C70A0"/>
    <w:rsid w:val="005C777F"/>
    <w:rsid w:val="005D3726"/>
    <w:rsid w:val="005E306F"/>
    <w:rsid w:val="005E4457"/>
    <w:rsid w:val="005E76A0"/>
    <w:rsid w:val="005F3D3A"/>
    <w:rsid w:val="005F4C20"/>
    <w:rsid w:val="005F7E33"/>
    <w:rsid w:val="0061216A"/>
    <w:rsid w:val="00620277"/>
    <w:rsid w:val="00622A25"/>
    <w:rsid w:val="00633BE1"/>
    <w:rsid w:val="00667509"/>
    <w:rsid w:val="006722C5"/>
    <w:rsid w:val="00673163"/>
    <w:rsid w:val="006746D2"/>
    <w:rsid w:val="00677064"/>
    <w:rsid w:val="00681870"/>
    <w:rsid w:val="006822F5"/>
    <w:rsid w:val="00684537"/>
    <w:rsid w:val="0068488B"/>
    <w:rsid w:val="00687D9D"/>
    <w:rsid w:val="00691BF9"/>
    <w:rsid w:val="006A513E"/>
    <w:rsid w:val="006A6E14"/>
    <w:rsid w:val="006A72BD"/>
    <w:rsid w:val="006B0D49"/>
    <w:rsid w:val="006B11C7"/>
    <w:rsid w:val="006B559D"/>
    <w:rsid w:val="006B686F"/>
    <w:rsid w:val="006B74B9"/>
    <w:rsid w:val="006C7521"/>
    <w:rsid w:val="006D1743"/>
    <w:rsid w:val="006D5575"/>
    <w:rsid w:val="006D5A01"/>
    <w:rsid w:val="006D70C7"/>
    <w:rsid w:val="006E0B6D"/>
    <w:rsid w:val="006E25FC"/>
    <w:rsid w:val="006E4FDF"/>
    <w:rsid w:val="006F5DF5"/>
    <w:rsid w:val="00702DE3"/>
    <w:rsid w:val="00707532"/>
    <w:rsid w:val="00713B9C"/>
    <w:rsid w:val="007155A5"/>
    <w:rsid w:val="007253AA"/>
    <w:rsid w:val="00727653"/>
    <w:rsid w:val="00733DD1"/>
    <w:rsid w:val="007518A5"/>
    <w:rsid w:val="00752464"/>
    <w:rsid w:val="00770A61"/>
    <w:rsid w:val="00771260"/>
    <w:rsid w:val="007720EC"/>
    <w:rsid w:val="007734F4"/>
    <w:rsid w:val="00775F12"/>
    <w:rsid w:val="0077682B"/>
    <w:rsid w:val="007775DF"/>
    <w:rsid w:val="00777A43"/>
    <w:rsid w:val="00786938"/>
    <w:rsid w:val="0079728B"/>
    <w:rsid w:val="007A4FF0"/>
    <w:rsid w:val="007A7369"/>
    <w:rsid w:val="007B0A59"/>
    <w:rsid w:val="007B12AD"/>
    <w:rsid w:val="007B2725"/>
    <w:rsid w:val="007B3155"/>
    <w:rsid w:val="007B525D"/>
    <w:rsid w:val="007C5162"/>
    <w:rsid w:val="007D60CE"/>
    <w:rsid w:val="007E5320"/>
    <w:rsid w:val="00810C52"/>
    <w:rsid w:val="00816D92"/>
    <w:rsid w:val="00816F97"/>
    <w:rsid w:val="008231B5"/>
    <w:rsid w:val="0082668C"/>
    <w:rsid w:val="008300A9"/>
    <w:rsid w:val="008451B1"/>
    <w:rsid w:val="008476AE"/>
    <w:rsid w:val="00871B6A"/>
    <w:rsid w:val="00877CB6"/>
    <w:rsid w:val="00884B7C"/>
    <w:rsid w:val="00884D1C"/>
    <w:rsid w:val="0088555D"/>
    <w:rsid w:val="00893F84"/>
    <w:rsid w:val="008955AD"/>
    <w:rsid w:val="008A2CCD"/>
    <w:rsid w:val="008A3951"/>
    <w:rsid w:val="008A4D19"/>
    <w:rsid w:val="008A5381"/>
    <w:rsid w:val="008A6C2E"/>
    <w:rsid w:val="008A734D"/>
    <w:rsid w:val="008A74B2"/>
    <w:rsid w:val="008B2260"/>
    <w:rsid w:val="008C68B0"/>
    <w:rsid w:val="008E072A"/>
    <w:rsid w:val="008E2042"/>
    <w:rsid w:val="008E2263"/>
    <w:rsid w:val="008E2C12"/>
    <w:rsid w:val="008E7A22"/>
    <w:rsid w:val="00900EC2"/>
    <w:rsid w:val="009056F0"/>
    <w:rsid w:val="00906CF7"/>
    <w:rsid w:val="00910170"/>
    <w:rsid w:val="00910551"/>
    <w:rsid w:val="00915C89"/>
    <w:rsid w:val="00917B5B"/>
    <w:rsid w:val="0092220A"/>
    <w:rsid w:val="009260F4"/>
    <w:rsid w:val="009265CC"/>
    <w:rsid w:val="00933514"/>
    <w:rsid w:val="00933E45"/>
    <w:rsid w:val="0093646F"/>
    <w:rsid w:val="0094281B"/>
    <w:rsid w:val="00942B73"/>
    <w:rsid w:val="00944A3E"/>
    <w:rsid w:val="009568CA"/>
    <w:rsid w:val="0095714E"/>
    <w:rsid w:val="009604FD"/>
    <w:rsid w:val="00960E9F"/>
    <w:rsid w:val="0096649D"/>
    <w:rsid w:val="00975514"/>
    <w:rsid w:val="009764D4"/>
    <w:rsid w:val="00981912"/>
    <w:rsid w:val="00981B9E"/>
    <w:rsid w:val="00982C8B"/>
    <w:rsid w:val="0099223D"/>
    <w:rsid w:val="00993220"/>
    <w:rsid w:val="00996A62"/>
    <w:rsid w:val="009A218A"/>
    <w:rsid w:val="009A3464"/>
    <w:rsid w:val="009B04B7"/>
    <w:rsid w:val="009B0C4D"/>
    <w:rsid w:val="009B46D7"/>
    <w:rsid w:val="009B5849"/>
    <w:rsid w:val="009B6E2C"/>
    <w:rsid w:val="009D1A3B"/>
    <w:rsid w:val="009E3683"/>
    <w:rsid w:val="009E3C99"/>
    <w:rsid w:val="009E58AC"/>
    <w:rsid w:val="009E7082"/>
    <w:rsid w:val="009E790A"/>
    <w:rsid w:val="009F0DCF"/>
    <w:rsid w:val="009F1865"/>
    <w:rsid w:val="00A03F76"/>
    <w:rsid w:val="00A06E3E"/>
    <w:rsid w:val="00A108D3"/>
    <w:rsid w:val="00A20241"/>
    <w:rsid w:val="00A24FFB"/>
    <w:rsid w:val="00A4209A"/>
    <w:rsid w:val="00A43ADD"/>
    <w:rsid w:val="00A563DD"/>
    <w:rsid w:val="00A63BE1"/>
    <w:rsid w:val="00A86BE4"/>
    <w:rsid w:val="00A94DF1"/>
    <w:rsid w:val="00A94F75"/>
    <w:rsid w:val="00AA02B8"/>
    <w:rsid w:val="00AB0583"/>
    <w:rsid w:val="00AB0E69"/>
    <w:rsid w:val="00AB154A"/>
    <w:rsid w:val="00AB7CB0"/>
    <w:rsid w:val="00AC7AD3"/>
    <w:rsid w:val="00AD05A3"/>
    <w:rsid w:val="00AD0863"/>
    <w:rsid w:val="00AD2898"/>
    <w:rsid w:val="00AD5EFE"/>
    <w:rsid w:val="00AE1D1A"/>
    <w:rsid w:val="00AE5368"/>
    <w:rsid w:val="00AF0484"/>
    <w:rsid w:val="00AF332D"/>
    <w:rsid w:val="00AF67EA"/>
    <w:rsid w:val="00B04881"/>
    <w:rsid w:val="00B058EF"/>
    <w:rsid w:val="00B05FA9"/>
    <w:rsid w:val="00B16F80"/>
    <w:rsid w:val="00B25C24"/>
    <w:rsid w:val="00B44479"/>
    <w:rsid w:val="00B449CE"/>
    <w:rsid w:val="00B51C07"/>
    <w:rsid w:val="00B6135F"/>
    <w:rsid w:val="00B675B7"/>
    <w:rsid w:val="00B67AD2"/>
    <w:rsid w:val="00B74F81"/>
    <w:rsid w:val="00B7545F"/>
    <w:rsid w:val="00B83CC8"/>
    <w:rsid w:val="00B85790"/>
    <w:rsid w:val="00B90CC0"/>
    <w:rsid w:val="00B93677"/>
    <w:rsid w:val="00B944DC"/>
    <w:rsid w:val="00B95FDD"/>
    <w:rsid w:val="00BA0863"/>
    <w:rsid w:val="00BA59B5"/>
    <w:rsid w:val="00BB48DB"/>
    <w:rsid w:val="00BB59AB"/>
    <w:rsid w:val="00BC2549"/>
    <w:rsid w:val="00BE2BCD"/>
    <w:rsid w:val="00BE2CD8"/>
    <w:rsid w:val="00BE4A73"/>
    <w:rsid w:val="00BE7120"/>
    <w:rsid w:val="00BF0B6B"/>
    <w:rsid w:val="00BF48A7"/>
    <w:rsid w:val="00C00C18"/>
    <w:rsid w:val="00C01C17"/>
    <w:rsid w:val="00C03FD5"/>
    <w:rsid w:val="00C1619C"/>
    <w:rsid w:val="00C21B10"/>
    <w:rsid w:val="00C27220"/>
    <w:rsid w:val="00C31547"/>
    <w:rsid w:val="00C33805"/>
    <w:rsid w:val="00C45013"/>
    <w:rsid w:val="00C45CBB"/>
    <w:rsid w:val="00C51AB3"/>
    <w:rsid w:val="00C56395"/>
    <w:rsid w:val="00C5728D"/>
    <w:rsid w:val="00C572E5"/>
    <w:rsid w:val="00C608FC"/>
    <w:rsid w:val="00C66A0B"/>
    <w:rsid w:val="00C74E78"/>
    <w:rsid w:val="00C76BB5"/>
    <w:rsid w:val="00C774AC"/>
    <w:rsid w:val="00C778EB"/>
    <w:rsid w:val="00C81F9D"/>
    <w:rsid w:val="00C87E71"/>
    <w:rsid w:val="00C90B8A"/>
    <w:rsid w:val="00C91FB2"/>
    <w:rsid w:val="00C94A59"/>
    <w:rsid w:val="00CA2B02"/>
    <w:rsid w:val="00CB2EF4"/>
    <w:rsid w:val="00CB3CB9"/>
    <w:rsid w:val="00CB4113"/>
    <w:rsid w:val="00CB7A42"/>
    <w:rsid w:val="00CD3EB2"/>
    <w:rsid w:val="00CD591F"/>
    <w:rsid w:val="00CD7A3E"/>
    <w:rsid w:val="00CE0BFE"/>
    <w:rsid w:val="00CE0C16"/>
    <w:rsid w:val="00CE1338"/>
    <w:rsid w:val="00CE2165"/>
    <w:rsid w:val="00CE488B"/>
    <w:rsid w:val="00CF3DD6"/>
    <w:rsid w:val="00CF6746"/>
    <w:rsid w:val="00CF7CDC"/>
    <w:rsid w:val="00D012EA"/>
    <w:rsid w:val="00D0660F"/>
    <w:rsid w:val="00D10012"/>
    <w:rsid w:val="00D1016E"/>
    <w:rsid w:val="00D11732"/>
    <w:rsid w:val="00D16F2D"/>
    <w:rsid w:val="00D1766A"/>
    <w:rsid w:val="00D26C2C"/>
    <w:rsid w:val="00D272A7"/>
    <w:rsid w:val="00D27604"/>
    <w:rsid w:val="00D31056"/>
    <w:rsid w:val="00D31ABF"/>
    <w:rsid w:val="00D3238E"/>
    <w:rsid w:val="00D3477E"/>
    <w:rsid w:val="00D3578A"/>
    <w:rsid w:val="00D360FA"/>
    <w:rsid w:val="00D65DC3"/>
    <w:rsid w:val="00D67F8F"/>
    <w:rsid w:val="00D71E4C"/>
    <w:rsid w:val="00D7458A"/>
    <w:rsid w:val="00D832D1"/>
    <w:rsid w:val="00D84E2E"/>
    <w:rsid w:val="00D91F98"/>
    <w:rsid w:val="00D93904"/>
    <w:rsid w:val="00D93AA4"/>
    <w:rsid w:val="00D93D6A"/>
    <w:rsid w:val="00DA0658"/>
    <w:rsid w:val="00DA4153"/>
    <w:rsid w:val="00DA4B02"/>
    <w:rsid w:val="00DA66DA"/>
    <w:rsid w:val="00DB0439"/>
    <w:rsid w:val="00DB0D90"/>
    <w:rsid w:val="00DB1A09"/>
    <w:rsid w:val="00DD1666"/>
    <w:rsid w:val="00DD3F4E"/>
    <w:rsid w:val="00DD5833"/>
    <w:rsid w:val="00DD5F88"/>
    <w:rsid w:val="00DE4E31"/>
    <w:rsid w:val="00DE7FC1"/>
    <w:rsid w:val="00DF13CF"/>
    <w:rsid w:val="00E065A8"/>
    <w:rsid w:val="00E1117C"/>
    <w:rsid w:val="00E14587"/>
    <w:rsid w:val="00E14FA1"/>
    <w:rsid w:val="00E20F77"/>
    <w:rsid w:val="00E21E97"/>
    <w:rsid w:val="00E25C15"/>
    <w:rsid w:val="00E31081"/>
    <w:rsid w:val="00E34388"/>
    <w:rsid w:val="00E34ED2"/>
    <w:rsid w:val="00E35FF1"/>
    <w:rsid w:val="00E46A94"/>
    <w:rsid w:val="00E56248"/>
    <w:rsid w:val="00E56F41"/>
    <w:rsid w:val="00E61E6D"/>
    <w:rsid w:val="00E667ED"/>
    <w:rsid w:val="00E71228"/>
    <w:rsid w:val="00E71400"/>
    <w:rsid w:val="00E74EF7"/>
    <w:rsid w:val="00EA185B"/>
    <w:rsid w:val="00EA2BD7"/>
    <w:rsid w:val="00EB66DD"/>
    <w:rsid w:val="00EC1CB1"/>
    <w:rsid w:val="00EC3B6D"/>
    <w:rsid w:val="00EE1B2C"/>
    <w:rsid w:val="00EE59EB"/>
    <w:rsid w:val="00EE617C"/>
    <w:rsid w:val="00EE640C"/>
    <w:rsid w:val="00EE6DB9"/>
    <w:rsid w:val="00F105C1"/>
    <w:rsid w:val="00F12E4A"/>
    <w:rsid w:val="00F15B03"/>
    <w:rsid w:val="00F16588"/>
    <w:rsid w:val="00F20711"/>
    <w:rsid w:val="00F208D4"/>
    <w:rsid w:val="00F22683"/>
    <w:rsid w:val="00F226E9"/>
    <w:rsid w:val="00F37D56"/>
    <w:rsid w:val="00F432D3"/>
    <w:rsid w:val="00F62954"/>
    <w:rsid w:val="00F62FD7"/>
    <w:rsid w:val="00F65301"/>
    <w:rsid w:val="00F66D03"/>
    <w:rsid w:val="00F72667"/>
    <w:rsid w:val="00F80C35"/>
    <w:rsid w:val="00F8324E"/>
    <w:rsid w:val="00F84F17"/>
    <w:rsid w:val="00F85F14"/>
    <w:rsid w:val="00F8678C"/>
    <w:rsid w:val="00F9693C"/>
    <w:rsid w:val="00FA1AC1"/>
    <w:rsid w:val="00FA6362"/>
    <w:rsid w:val="00FA6EAD"/>
    <w:rsid w:val="00FB3955"/>
    <w:rsid w:val="00FB7F26"/>
    <w:rsid w:val="00FC2C81"/>
    <w:rsid w:val="00FC7E67"/>
    <w:rsid w:val="00FE1C6C"/>
    <w:rsid w:val="00FE4894"/>
    <w:rsid w:val="00FE64E1"/>
    <w:rsid w:val="00FF2633"/>
    <w:rsid w:val="00FF5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6" type="connector" idref="#_x0000_s1028"/>
        <o:r id="V:Rule7" type="connector" idref="#_x0000_s1026"/>
        <o:r id="V:Rule8" type="connector" idref="#_x0000_s1030"/>
        <o:r id="V:Rule9" type="connector" idref="#_x0000_s1027"/>
        <o:r id="V:Rule10" type="connector" idref="#_x0000_s1029"/>
        <o:r id="V:Rule1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6C2E"/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8A6C2E"/>
    <w:pPr>
      <w:keepNext/>
      <w:jc w:val="both"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1E67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A6C2E"/>
    <w:rPr>
      <w:sz w:val="28"/>
      <w:lang w:val="uk-UA"/>
    </w:rPr>
  </w:style>
  <w:style w:type="paragraph" w:styleId="2">
    <w:name w:val="Body Text 2"/>
    <w:basedOn w:val="a"/>
    <w:rsid w:val="008A6C2E"/>
    <w:pPr>
      <w:jc w:val="both"/>
    </w:pPr>
    <w:rPr>
      <w:sz w:val="28"/>
      <w:lang w:val="uk-UA"/>
    </w:rPr>
  </w:style>
  <w:style w:type="paragraph" w:styleId="31">
    <w:name w:val="Body Text 3"/>
    <w:basedOn w:val="a"/>
    <w:rsid w:val="008A6C2E"/>
    <w:pPr>
      <w:jc w:val="both"/>
    </w:pPr>
    <w:rPr>
      <w:rFonts w:ascii="Times New Roman" w:hAnsi="Times New Roman"/>
      <w:lang w:val="uk-UA"/>
    </w:rPr>
  </w:style>
  <w:style w:type="paragraph" w:styleId="a4">
    <w:name w:val="Document Map"/>
    <w:basedOn w:val="a"/>
    <w:semiHidden/>
    <w:rsid w:val="008A6C2E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473791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4916F7"/>
    <w:rPr>
      <w:rFonts w:ascii="Verdana" w:hAnsi="Verdana" w:cs="Verdana"/>
      <w:sz w:val="20"/>
      <w:lang w:val="en-US" w:eastAsia="en-US"/>
    </w:rPr>
  </w:style>
  <w:style w:type="paragraph" w:customStyle="1" w:styleId="a7">
    <w:name w:val="Знак Знак Знак"/>
    <w:basedOn w:val="a"/>
    <w:rsid w:val="00014A41"/>
    <w:rPr>
      <w:rFonts w:ascii="Verdana" w:hAnsi="Verdana" w:cs="Verdana"/>
      <w:sz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FC2C81"/>
    <w:rPr>
      <w:rFonts w:ascii="Bookshelf Symbol 7" w:hAnsi="Bookshelf Symbol 7" w:cs="Bookshelf Symbol 7"/>
      <w:sz w:val="20"/>
      <w:lang w:val="en-US" w:eastAsia="en-US"/>
    </w:rPr>
  </w:style>
  <w:style w:type="paragraph" w:styleId="a9">
    <w:name w:val="List Paragraph"/>
    <w:basedOn w:val="a"/>
    <w:uiPriority w:val="34"/>
    <w:qFormat/>
    <w:rsid w:val="00562E81"/>
    <w:pPr>
      <w:ind w:left="720"/>
      <w:contextualSpacing/>
    </w:pPr>
    <w:rPr>
      <w:rFonts w:ascii="Times New Roman" w:hAnsi="Times New Roman"/>
      <w:szCs w:val="24"/>
    </w:rPr>
  </w:style>
  <w:style w:type="character" w:customStyle="1" w:styleId="rvts0">
    <w:name w:val="rvts0"/>
    <w:basedOn w:val="a0"/>
    <w:rsid w:val="00B67AD2"/>
  </w:style>
  <w:style w:type="character" w:customStyle="1" w:styleId="shorttext">
    <w:name w:val="short_text"/>
    <w:basedOn w:val="a0"/>
    <w:rsid w:val="001143E3"/>
  </w:style>
  <w:style w:type="character" w:customStyle="1" w:styleId="hps">
    <w:name w:val="hps"/>
    <w:basedOn w:val="a0"/>
    <w:rsid w:val="001143E3"/>
  </w:style>
  <w:style w:type="character" w:customStyle="1" w:styleId="30">
    <w:name w:val="Заголовок 3 Знак"/>
    <w:basedOn w:val="a0"/>
    <w:link w:val="3"/>
    <w:semiHidden/>
    <w:rsid w:val="001E6735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diagramColors" Target="diagrams/colors1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microsoft.com/office/2007/relationships/diagramDrawing" Target="diagrams/drawing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220FU\Desktop\&#1089;&#1090;&#1088;&#1091;&#1082;&#1090;&#1082;&#1088;&#1072;%20&#1074;&#1080;&#1076;&#1072;&#1090;&#1082;&#1110;&#1074;%20&#1076;&#1080;&#1072;&#1075;&#1088;&#1084;&#1072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Порівняння</a:t>
            </a:r>
            <a:r>
              <a:rPr lang="ru-RU" sz="1400" baseline="0"/>
              <a:t> надходжень до бюджету міста Чорноморська </a:t>
            </a:r>
          </a:p>
          <a:p>
            <a:pPr>
              <a:defRPr/>
            </a:pPr>
            <a:r>
              <a:rPr lang="ru-RU" sz="1400" baseline="0"/>
              <a:t>за січень - березень, млн.грн.</a:t>
            </a:r>
            <a:endParaRPr lang="ru-RU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млн.грн.</c:v>
                </c:pt>
              </c:strCache>
            </c:strRef>
          </c:tx>
          <c:spPr>
            <a:solidFill>
              <a:schemeClr val="accent1"/>
            </a:soli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1 кв.2015р.</c:v>
                </c:pt>
                <c:pt idx="1">
                  <c:v>1 кв.2016р.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89.2</c:v>
                </c:pt>
                <c:pt idx="1">
                  <c:v>127.8</c:v>
                </c:pt>
              </c:numCache>
            </c:numRef>
          </c:val>
        </c:ser>
        <c:axId val="85536768"/>
        <c:axId val="85538688"/>
      </c:barChart>
      <c:catAx>
        <c:axId val="85536768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5538688"/>
        <c:crosses val="autoZero"/>
        <c:auto val="1"/>
        <c:lblAlgn val="ctr"/>
        <c:lblOffset val="100"/>
      </c:catAx>
      <c:valAx>
        <c:axId val="8553868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85536768"/>
        <c:crosses val="autoZero"/>
        <c:crossBetween val="between"/>
      </c:valAx>
    </c:plotArea>
    <c:plotVisOnly val="1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Структура надходжень до бюджету міста Чорноморська за січень - березень 2016р., млн.грн.</a:t>
            </a:r>
          </a:p>
        </c:rich>
      </c:tx>
    </c:title>
    <c:view3D>
      <c:rotX val="30"/>
      <c:rotY val="250"/>
      <c:perspective val="30"/>
    </c:view3D>
    <c:plotArea>
      <c:layout>
        <c:manualLayout>
          <c:layoutTarget val="inner"/>
          <c:xMode val="edge"/>
          <c:yMode val="edge"/>
          <c:x val="0.14093127866170943"/>
          <c:y val="0.24068136782047544"/>
          <c:w val="0.8283653176103386"/>
          <c:h val="0.6641263431814612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надходжень до бюджету міста Чорноморська за січень - березень 2016р.</c:v>
                </c:pt>
              </c:strCache>
            </c:strRef>
          </c:tx>
          <c:explosion val="25"/>
          <c:dPt>
            <c:idx val="0"/>
            <c:explosion val="33"/>
          </c:dPt>
          <c:dLbls>
            <c:dLbl>
              <c:idx val="1"/>
              <c:layout>
                <c:manualLayout>
                  <c:x val="1.3784326243798293E-3"/>
                  <c:y val="-6.37958289401859E-2"/>
                </c:manualLayout>
              </c:layout>
              <c:showVal val="1"/>
              <c:showCatName val="1"/>
              <c:showPercent val="1"/>
              <c:separator>
</c:separator>
            </c:dLbl>
            <c:dLbl>
              <c:idx val="2"/>
              <c:layout>
                <c:manualLayout>
                  <c:x val="-2.37413884472709E-3"/>
                  <c:y val="9.5402262751344127E-2"/>
                </c:manualLayout>
              </c:layout>
              <c:showVal val="1"/>
              <c:showCatName val="1"/>
              <c:showPercent val="1"/>
              <c:separator>
</c:separator>
            </c:dLbl>
            <c:dLbl>
              <c:idx val="3"/>
              <c:layout>
                <c:manualLayout>
                  <c:x val="0.17249633404547979"/>
                  <c:y val="0"/>
                </c:manualLayout>
              </c:layout>
              <c:showVal val="1"/>
              <c:showCatName val="1"/>
              <c:showPercent val="1"/>
              <c:separator>
</c:separator>
            </c:dLbl>
            <c:dLbl>
              <c:idx val="4"/>
              <c:layout>
                <c:manualLayout>
                  <c:x val="0.16011289961429614"/>
                  <c:y val="3.2183331005230548E-2"/>
                </c:manualLayout>
              </c:layout>
              <c:showVal val="1"/>
              <c:showCatName val="1"/>
              <c:showPercent val="1"/>
              <c:separator>
</c:separator>
            </c:dLbl>
            <c:dLbl>
              <c:idx val="5"/>
              <c:layout>
                <c:manualLayout>
                  <c:x val="2.0068217899959429E-2"/>
                  <c:y val="0.10774087642661667"/>
                </c:manualLayout>
              </c:layout>
              <c:showVal val="1"/>
              <c:showCatName val="1"/>
              <c:showPercent val="1"/>
              <c:separator>
</c:separator>
            </c:dLbl>
            <c:dLbl>
              <c:idx val="6"/>
              <c:layout>
                <c:manualLayout>
                  <c:x val="-9.7970466969370992E-2"/>
                  <c:y val="9.8202091189423218E-2"/>
                </c:manualLayout>
              </c:layout>
              <c:showVal val="1"/>
              <c:showCatName val="1"/>
              <c:showPercent val="1"/>
              <c:separator>
</c:separator>
            </c:dLbl>
            <c:dLbl>
              <c:idx val="7"/>
              <c:layout>
                <c:manualLayout>
                  <c:x val="-4.6412127736815134E-2"/>
                  <c:y val="-6.1704167320965224E-2"/>
                </c:manualLayout>
              </c:layout>
              <c:showVal val="1"/>
              <c:showCatName val="1"/>
              <c:showPercent val="1"/>
              <c:separator>
</c:separator>
            </c:dLbl>
            <c:dLbl>
              <c:idx val="8"/>
              <c:layout>
                <c:manualLayout>
                  <c:x val="-5.3876315492635267E-2"/>
                  <c:y val="-0.21732844622821704"/>
                </c:manualLayout>
              </c:layout>
              <c:showVal val="1"/>
              <c:showCatName val="1"/>
              <c:showPercent val="1"/>
              <c:separator>
</c:separator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showCatName val="1"/>
            <c:showPercent val="1"/>
            <c:separator>
</c:separator>
            <c:showLeaderLines val="1"/>
          </c:dLbls>
          <c:cat>
            <c:strRef>
              <c:f>Лист1!$A$2:$A$10</c:f>
              <c:strCache>
                <c:ptCount val="9"/>
                <c:pt idx="0">
                  <c:v>Податок на доходи фізичних осіб</c:v>
                </c:pt>
                <c:pt idx="1">
                  <c:v>Плата за землю</c:v>
                </c:pt>
                <c:pt idx="2">
                  <c:v>Соціальні субвенції</c:v>
                </c:pt>
                <c:pt idx="3">
                  <c:v>Освітня субвенція</c:v>
                </c:pt>
                <c:pt idx="4">
                  <c:v>Єдиний податок</c:v>
                </c:pt>
                <c:pt idx="5">
                  <c:v>Акцизний податок</c:v>
                </c:pt>
                <c:pt idx="6">
                  <c:v>Бюджет розвитку</c:v>
                </c:pt>
                <c:pt idx="7">
                  <c:v>Власні надходження бюджетних установ</c:v>
                </c:pt>
                <c:pt idx="8">
                  <c:v>Інші надходження</c:v>
                </c:pt>
              </c:strCache>
            </c:strRef>
          </c:cat>
          <c:val>
            <c:numRef>
              <c:f>Лист1!$B$2:$B$10</c:f>
              <c:numCache>
                <c:formatCode>0.0</c:formatCode>
                <c:ptCount val="9"/>
                <c:pt idx="0">
                  <c:v>45.2</c:v>
                </c:pt>
                <c:pt idx="1">
                  <c:v>28.1</c:v>
                </c:pt>
                <c:pt idx="2">
                  <c:v>23.9</c:v>
                </c:pt>
                <c:pt idx="3">
                  <c:v>13.7</c:v>
                </c:pt>
                <c:pt idx="4">
                  <c:v>5.8</c:v>
                </c:pt>
                <c:pt idx="5">
                  <c:v>3.6</c:v>
                </c:pt>
                <c:pt idx="6">
                  <c:v>2.9</c:v>
                </c:pt>
                <c:pt idx="7">
                  <c:v>2.6</c:v>
                </c:pt>
                <c:pt idx="8">
                  <c:v>1.9999999999999978</c:v>
                </c:pt>
              </c:numCache>
            </c:numRef>
          </c:val>
        </c:ser>
      </c:pie3DChart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Порівняння надходжень податку на доходи фізичних осіб </a:t>
            </a:r>
          </a:p>
          <a:p>
            <a:pPr>
              <a:defRPr sz="1200"/>
            </a:pPr>
            <a:r>
              <a:rPr lang="ru-RU" sz="1200"/>
              <a:t>за 1 квартал 2015-2016рр. </a:t>
            </a:r>
          </a:p>
          <a:p>
            <a:pPr>
              <a:defRPr sz="1200"/>
            </a:pPr>
            <a:r>
              <a:rPr lang="ru-RU" sz="1200"/>
              <a:t>до міського бюджету м.Чорноморська, млн.грн.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Порівняння надходжень податку на доходи фізичних осіб за 1 квартал 2015-2016рр. До бюджекту м.Чорноморська, млн.грн.</c:v>
                </c:pt>
              </c:strCache>
            </c:strRef>
          </c:tx>
          <c:dLbls>
            <c:dLbl>
              <c:idx val="0"/>
              <c:layout>
                <c:manualLayout>
                  <c:x val="4.6296296296296433E-3"/>
                  <c:y val="0.1428571428571433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0.15079365079365079"/>
                </c:manualLayout>
              </c:layout>
              <c:showVal val="1"/>
            </c:dLbl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1 квартал 2015р.</c:v>
                </c:pt>
                <c:pt idx="1">
                  <c:v>1 квартал 2016р.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34.4</c:v>
                </c:pt>
                <c:pt idx="1">
                  <c:v>45.2</c:v>
                </c:pt>
              </c:numCache>
            </c:numRef>
          </c:val>
        </c:ser>
        <c:shape val="box"/>
        <c:axId val="113146496"/>
        <c:axId val="113157632"/>
        <c:axId val="0"/>
      </c:bar3DChart>
      <c:catAx>
        <c:axId val="113146496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113157632"/>
        <c:crosses val="autoZero"/>
        <c:auto val="1"/>
        <c:lblAlgn val="ctr"/>
        <c:lblOffset val="100"/>
      </c:catAx>
      <c:valAx>
        <c:axId val="1131576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113146496"/>
        <c:crosses val="autoZero"/>
        <c:crossBetween val="between"/>
      </c:valAx>
    </c:plotArea>
    <c:plotVisOnly val="1"/>
  </c:chart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Пор</a:t>
            </a:r>
            <a:r>
              <a:rPr lang="uk-UA" sz="1200"/>
              <a:t>івняння</a:t>
            </a:r>
            <a:r>
              <a:rPr lang="uk-UA" sz="1200" baseline="0"/>
              <a:t> н</a:t>
            </a:r>
            <a:r>
              <a:rPr lang="ru-RU" sz="1200"/>
              <a:t>адходженнь плати за землю до міського бюджету міста Чорноморська за 1 квартал 2015-2016рр., млн.грн.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6.3865778835523523E-2"/>
          <c:y val="0.18686851012310329"/>
          <c:w val="0.91255437121806648"/>
          <c:h val="0.56500472794436052"/>
        </c:manualLayout>
      </c:layout>
      <c:bar3D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Земельний податок</c:v>
                </c:pt>
              </c:strCache>
            </c:strRef>
          </c:tx>
          <c:spPr>
            <a:gradFill>
              <a:gsLst>
                <a:gs pos="0">
                  <a:srgbClr val="03D4A8"/>
                </a:gs>
                <a:gs pos="25000">
                  <a:srgbClr val="21D6E0"/>
                </a:gs>
                <a:gs pos="75000">
                  <a:srgbClr val="0087E6"/>
                </a:gs>
                <a:gs pos="100000">
                  <a:srgbClr val="005CBF"/>
                </a:gs>
              </a:gsLst>
              <a:lin ang="13500000" scaled="0"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січень - березень 2015р.</c:v>
                </c:pt>
                <c:pt idx="1">
                  <c:v>січень - березень 2016р.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6.7</c:v>
                </c:pt>
                <c:pt idx="1">
                  <c:v>11.8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Плата за землю</c:v>
                </c:pt>
              </c:strCache>
            </c:strRef>
          </c:tx>
          <c:spPr>
            <a:gradFill>
              <a:gsLst>
                <a:gs pos="0">
                  <a:srgbClr val="FBEAC7"/>
                </a:gs>
                <a:gs pos="17999">
                  <a:srgbClr val="FEE7F2"/>
                </a:gs>
                <a:gs pos="36000">
                  <a:srgbClr val="FAC77D"/>
                </a:gs>
                <a:gs pos="61000">
                  <a:srgbClr val="FBA97D"/>
                </a:gs>
                <a:gs pos="82001">
                  <a:srgbClr val="FBD49C"/>
                </a:gs>
                <a:gs pos="100000">
                  <a:srgbClr val="FEE7F2"/>
                </a:gs>
              </a:gsLst>
              <a:lin ang="13500000" scaled="1"/>
            </a:gradFill>
          </c:spPr>
          <c:dLbls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січень - березень 2015р.</c:v>
                </c:pt>
                <c:pt idx="1">
                  <c:v>січень - березень 2016р.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12.2</c:v>
                </c:pt>
                <c:pt idx="1">
                  <c:v>16.3</c:v>
                </c:pt>
              </c:numCache>
            </c:numRef>
          </c:val>
        </c:ser>
        <c:shape val="cylinder"/>
        <c:axId val="58757504"/>
        <c:axId val="58759040"/>
        <c:axId val="0"/>
      </c:bar3DChart>
      <c:catAx>
        <c:axId val="58757504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58759040"/>
        <c:crosses val="autoZero"/>
        <c:auto val="1"/>
        <c:lblAlgn val="ctr"/>
        <c:lblOffset val="100"/>
      </c:catAx>
      <c:valAx>
        <c:axId val="5875904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58757504"/>
        <c:crosses val="autoZero"/>
        <c:crossBetween val="between"/>
      </c:valAx>
    </c:plotArea>
    <c:legend>
      <c:legendPos val="b"/>
      <c:txPr>
        <a:bodyPr/>
        <a:lstStyle/>
        <a:p>
          <a:pPr>
            <a:defRPr sz="1200" b="1"/>
          </a:pPr>
          <a:endParaRPr lang="ru-RU"/>
        </a:p>
      </c:txPr>
    </c:legend>
    <c:plotVisOnly val="1"/>
  </c:chart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/>
              <a:t>Структура</a:t>
            </a:r>
            <a:r>
              <a:rPr lang="ru-RU" sz="1600" baseline="0"/>
              <a:t> видатків міського бюджету міста Чорноморська за січень-березень 2016 р., тис. грн. </a:t>
            </a:r>
            <a:endParaRPr lang="ru-RU" sz="1600"/>
          </a:p>
        </c:rich>
      </c:tx>
      <c:layout>
        <c:manualLayout>
          <c:xMode val="edge"/>
          <c:yMode val="edge"/>
          <c:x val="0.12443921145370852"/>
          <c:y val="2.2600980187211257E-3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744050299431438"/>
          <c:y val="0.12013367515107161"/>
          <c:w val="0.67140532874331382"/>
          <c:h val="0.8781796438523447"/>
        </c:manualLayout>
      </c:layout>
      <c:pie3DChart>
        <c:varyColors val="1"/>
        <c:ser>
          <c:idx val="0"/>
          <c:order val="0"/>
          <c:explosion val="25"/>
          <c:dPt>
            <c:idx val="1"/>
            <c:spPr>
              <a:solidFill>
                <a:srgbClr val="FF0000"/>
              </a:solidFill>
            </c:spPr>
          </c:dPt>
          <c:dPt>
            <c:idx val="2"/>
            <c:spPr>
              <a:solidFill>
                <a:srgbClr val="00FFFF"/>
              </a:solidFill>
            </c:spPr>
          </c:dPt>
          <c:dPt>
            <c:idx val="3"/>
            <c:spPr>
              <a:solidFill>
                <a:srgbClr val="CCCC00"/>
              </a:solidFill>
            </c:spPr>
          </c:dPt>
          <c:dPt>
            <c:idx val="4"/>
            <c:spPr>
              <a:solidFill>
                <a:schemeClr val="accent2">
                  <a:lumMod val="40000"/>
                  <a:lumOff val="60000"/>
                </a:schemeClr>
              </a:solidFill>
            </c:spPr>
          </c:dPt>
          <c:dPt>
            <c:idx val="5"/>
            <c:spPr>
              <a:solidFill>
                <a:schemeClr val="accent6">
                  <a:lumMod val="40000"/>
                  <a:lumOff val="60000"/>
                </a:schemeClr>
              </a:solidFill>
            </c:spPr>
          </c:dPt>
          <c:dPt>
            <c:idx val="6"/>
            <c:spPr>
              <a:solidFill>
                <a:srgbClr val="92D050"/>
              </a:solidFill>
            </c:spPr>
          </c:dPt>
          <c:dPt>
            <c:idx val="7"/>
            <c:spPr>
              <a:solidFill>
                <a:srgbClr val="9900FF"/>
              </a:solidFill>
            </c:spPr>
          </c:dPt>
          <c:dPt>
            <c:idx val="8"/>
            <c:spPr>
              <a:solidFill>
                <a:srgbClr val="0000FF"/>
              </a:solidFill>
            </c:spPr>
          </c:dPt>
          <c:dPt>
            <c:idx val="9"/>
            <c:spPr>
              <a:solidFill>
                <a:srgbClr val="FFFF00"/>
              </a:solidFill>
            </c:spPr>
          </c:dPt>
          <c:dPt>
            <c:idx val="11"/>
            <c:spPr>
              <a:solidFill>
                <a:srgbClr val="FF00FF"/>
              </a:solidFill>
            </c:spPr>
          </c:dPt>
          <c:dLbls>
            <c:dLbl>
              <c:idx val="0"/>
              <c:delete val="1"/>
            </c:dLbl>
            <c:dLbl>
              <c:idx val="1"/>
              <c:layout>
                <c:manualLayout>
                  <c:x val="8.6059803272254768E-3"/>
                  <c:y val="-6.9219042720545798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</c:dLbl>
            <c:dLbl>
              <c:idx val="2"/>
              <c:layout>
                <c:manualLayout>
                  <c:x val="4.6593077734442094E-2"/>
                  <c:y val="-0.10231080139166701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</c:dLbl>
            <c:dLbl>
              <c:idx val="3"/>
              <c:layout>
                <c:manualLayout>
                  <c:x val="5.1826886125215722E-2"/>
                  <c:y val="-1.224909897719409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</c:dLbl>
            <c:dLbl>
              <c:idx val="4"/>
              <c:layout>
                <c:manualLayout>
                  <c:x val="2.4146491034415067E-2"/>
                  <c:y val="3.8775554037741994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</c:dLbl>
            <c:dLbl>
              <c:idx val="5"/>
              <c:layout>
                <c:manualLayout>
                  <c:x val="-0.11813018699765357"/>
                  <c:y val="1.634118157488910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</c:dLbl>
            <c:dLbl>
              <c:idx val="6"/>
              <c:layout>
                <c:manualLayout>
                  <c:x val="-9.626413520739804E-3"/>
                  <c:y val="0.13771915774154544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</c:dLbl>
            <c:dLbl>
              <c:idx val="7"/>
              <c:layout>
                <c:manualLayout>
                  <c:x val="-6.5949256342957105E-2"/>
                  <c:y val="9.5838692618178997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</c:dLbl>
            <c:dLbl>
              <c:idx val="8"/>
              <c:layout>
                <c:manualLayout>
                  <c:x val="-4.0473258599684356E-2"/>
                  <c:y val="-4.0863486240032561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</c:dLbl>
            <c:dLbl>
              <c:idx val="9"/>
              <c:layout>
                <c:manualLayout>
                  <c:x val="2.4464395221625412E-2"/>
                  <c:y val="-0.13589517368914156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</c:dLbl>
            <c:dLbl>
              <c:idx val="10"/>
              <c:layout>
                <c:manualLayout>
                  <c:x val="8.1368754139377442E-2"/>
                  <c:y val="-5.1938206036614212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</c:dLbl>
            <c:dLbl>
              <c:idx val="11"/>
              <c:layout>
                <c:manualLayout>
                  <c:x val="0.16735202492211837"/>
                  <c:y val="-5.7226013104589579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bestFit"/>
              <c:showVal val="1"/>
              <c:showCatName val="1"/>
              <c:showPercent val="1"/>
              <c:separator>
</c:separator>
            </c:dLbl>
            <c:showVal val="1"/>
            <c:showCatName val="1"/>
            <c:showPercent val="1"/>
            <c:separator>
</c:separator>
            <c:showLeaderLines val="1"/>
          </c:dLbls>
          <c:cat>
            <c:strRef>
              <c:f>Лист1!$B$4:$B$15</c:f>
              <c:strCache>
                <c:ptCount val="12"/>
                <c:pt idx="1">
                  <c:v>Соцзахист</c:v>
                </c:pt>
                <c:pt idx="2">
                  <c:v>Житлово-комунальне господарство</c:v>
                </c:pt>
                <c:pt idx="3">
                  <c:v>Місцеве самоврядування</c:v>
                </c:pt>
                <c:pt idx="4">
                  <c:v>Інші заходи</c:v>
                </c:pt>
                <c:pt idx="5">
                  <c:v>Субвенція з місцевого бюджету державному</c:v>
                </c:pt>
                <c:pt idx="6">
                  <c:v>Освіта </c:v>
                </c:pt>
                <c:pt idx="7">
                  <c:v>Фізична культура і спорт</c:v>
                </c:pt>
                <c:pt idx="8">
                  <c:v>Засоби масової інформації</c:v>
                </c:pt>
                <c:pt idx="9">
                  <c:v>Реверсна дотація</c:v>
                </c:pt>
                <c:pt idx="10">
                  <c:v>Інші видатки</c:v>
                </c:pt>
                <c:pt idx="11">
                  <c:v>Культура</c:v>
                </c:pt>
              </c:strCache>
            </c:strRef>
          </c:cat>
          <c:val>
            <c:numRef>
              <c:f>Лист1!$C$4:$C$15</c:f>
              <c:numCache>
                <c:formatCode>#,##0.0</c:formatCode>
                <c:ptCount val="12"/>
                <c:pt idx="1">
                  <c:v>32369.1</c:v>
                </c:pt>
                <c:pt idx="2">
                  <c:v>8760</c:v>
                </c:pt>
                <c:pt idx="3">
                  <c:v>6325.9</c:v>
                </c:pt>
                <c:pt idx="4">
                  <c:v>2393</c:v>
                </c:pt>
                <c:pt idx="5">
                  <c:v>8082.5</c:v>
                </c:pt>
                <c:pt idx="6">
                  <c:v>35281.599999999999</c:v>
                </c:pt>
                <c:pt idx="7">
                  <c:v>989.5</c:v>
                </c:pt>
                <c:pt idx="8">
                  <c:v>615.5</c:v>
                </c:pt>
                <c:pt idx="9">
                  <c:v>5691</c:v>
                </c:pt>
                <c:pt idx="10">
                  <c:v>5770.7</c:v>
                </c:pt>
                <c:pt idx="11">
                  <c:v>3397.7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plotVisOnly val="1"/>
    <c:dispBlanksAs val="zero"/>
  </c:chart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3DCA04C-DFC3-4A1A-8E85-7772D24CBD66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97FC2119-688D-4122-B087-CC29898D7A1E}">
      <dgm:prSet phldrT="[Текст]"/>
      <dgm:spPr/>
      <dgm:t>
        <a:bodyPr/>
        <a:lstStyle/>
        <a:p>
          <a:r>
            <a:rPr lang="uk-UA" b="1"/>
            <a:t>53 %</a:t>
          </a:r>
          <a:endParaRPr lang="ru-RU" b="1"/>
        </a:p>
      </dgm:t>
    </dgm:pt>
    <dgm:pt modelId="{756A8241-ED43-4A0A-A5D4-3DFA4E0FAC60}" type="parTrans" cxnId="{682FBFA4-1186-428C-B398-93670D1364CA}">
      <dgm:prSet/>
      <dgm:spPr/>
      <dgm:t>
        <a:bodyPr/>
        <a:lstStyle/>
        <a:p>
          <a:endParaRPr lang="ru-RU"/>
        </a:p>
      </dgm:t>
    </dgm:pt>
    <dgm:pt modelId="{36541D06-CE76-41F4-8D08-1F38CA8C9C43}" type="sibTrans" cxnId="{682FBFA4-1186-428C-B398-93670D1364CA}">
      <dgm:prSet/>
      <dgm:spPr/>
      <dgm:t>
        <a:bodyPr/>
        <a:lstStyle/>
        <a:p>
          <a:endParaRPr lang="ru-RU"/>
        </a:p>
      </dgm:t>
    </dgm:pt>
    <dgm:pt modelId="{EE92E431-3DDF-4BC6-9D3A-0A6C60C3C42B}">
      <dgm:prSet phldrT="[Текст]"/>
      <dgm:spPr/>
      <dgm:t>
        <a:bodyPr/>
        <a:lstStyle/>
        <a:p>
          <a:r>
            <a:rPr lang="uk-UA"/>
            <a:t>1,9 млн.грн. - акцизний податок від реалізації пального </a:t>
          </a:r>
          <a:endParaRPr lang="ru-RU"/>
        </a:p>
      </dgm:t>
    </dgm:pt>
    <dgm:pt modelId="{D5575125-C17F-40B6-9FA3-79B8F92C1440}" type="parTrans" cxnId="{5F95C0E3-DC48-496C-9117-43E801EEE57D}">
      <dgm:prSet/>
      <dgm:spPr/>
      <dgm:t>
        <a:bodyPr/>
        <a:lstStyle/>
        <a:p>
          <a:endParaRPr lang="ru-RU"/>
        </a:p>
      </dgm:t>
    </dgm:pt>
    <dgm:pt modelId="{164F1A3D-D4AE-47FE-BB0B-BA891A2163A9}" type="sibTrans" cxnId="{5F95C0E3-DC48-496C-9117-43E801EEE57D}">
      <dgm:prSet/>
      <dgm:spPr/>
      <dgm:t>
        <a:bodyPr/>
        <a:lstStyle/>
        <a:p>
          <a:endParaRPr lang="ru-RU"/>
        </a:p>
      </dgm:t>
    </dgm:pt>
    <dgm:pt modelId="{6927A13F-2628-4A20-BF11-116A98AD5AB1}">
      <dgm:prSet phldrT="[Текст]"/>
      <dgm:spPr/>
      <dgm:t>
        <a:bodyPr/>
        <a:lstStyle/>
        <a:p>
          <a:r>
            <a:rPr lang="uk-UA" b="1"/>
            <a:t>47 %</a:t>
          </a:r>
          <a:endParaRPr lang="ru-RU" b="1"/>
        </a:p>
      </dgm:t>
    </dgm:pt>
    <dgm:pt modelId="{7C4EE3DF-DEB8-400F-8346-97A3BCF2EEFA}" type="parTrans" cxnId="{4B1B9FDA-6E3B-416E-86B8-84EEFE0D28A0}">
      <dgm:prSet/>
      <dgm:spPr/>
      <dgm:t>
        <a:bodyPr/>
        <a:lstStyle/>
        <a:p>
          <a:endParaRPr lang="ru-RU"/>
        </a:p>
      </dgm:t>
    </dgm:pt>
    <dgm:pt modelId="{13CB4AE6-8FF7-4A02-8459-1200B0CFE1D0}" type="sibTrans" cxnId="{4B1B9FDA-6E3B-416E-86B8-84EEFE0D28A0}">
      <dgm:prSet/>
      <dgm:spPr/>
      <dgm:t>
        <a:bodyPr/>
        <a:lstStyle/>
        <a:p>
          <a:endParaRPr lang="ru-RU"/>
        </a:p>
      </dgm:t>
    </dgm:pt>
    <dgm:pt modelId="{DEBDC31C-E6D2-46E6-B99E-6205354E3F2A}">
      <dgm:prSet phldrT="[Текст]"/>
      <dgm:spPr/>
      <dgm:t>
        <a:bodyPr/>
        <a:lstStyle/>
        <a:p>
          <a:r>
            <a:rPr lang="uk-UA"/>
            <a:t>1,7 млн.грн. - акцизний податок від реалізації алкогольних та тютюнових виробів</a:t>
          </a:r>
          <a:endParaRPr lang="ru-RU"/>
        </a:p>
      </dgm:t>
    </dgm:pt>
    <dgm:pt modelId="{E1E1B983-29E4-472A-B114-128F2BC1118D}" type="parTrans" cxnId="{A2C718C3-ABE6-4667-AFAB-231B46ACC99B}">
      <dgm:prSet/>
      <dgm:spPr/>
      <dgm:t>
        <a:bodyPr/>
        <a:lstStyle/>
        <a:p>
          <a:endParaRPr lang="ru-RU"/>
        </a:p>
      </dgm:t>
    </dgm:pt>
    <dgm:pt modelId="{959CE531-0D97-4230-8FBD-AF2D22C82C1A}" type="sibTrans" cxnId="{A2C718C3-ABE6-4667-AFAB-231B46ACC99B}">
      <dgm:prSet/>
      <dgm:spPr/>
      <dgm:t>
        <a:bodyPr/>
        <a:lstStyle/>
        <a:p>
          <a:endParaRPr lang="ru-RU"/>
        </a:p>
      </dgm:t>
    </dgm:pt>
    <dgm:pt modelId="{32E058C5-A774-40C3-A35B-5E0409B1B8E5}" type="pres">
      <dgm:prSet presAssocID="{E3DCA04C-DFC3-4A1A-8E85-7772D24CBD66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4059CB8-1E9D-4D43-AC40-AA559EEA9B53}" type="pres">
      <dgm:prSet presAssocID="{97FC2119-688D-4122-B087-CC29898D7A1E}" presName="composite" presStyleCnt="0"/>
      <dgm:spPr/>
    </dgm:pt>
    <dgm:pt modelId="{A36200D0-32F5-4711-9CB6-795BB672262D}" type="pres">
      <dgm:prSet presAssocID="{97FC2119-688D-4122-B087-CC29898D7A1E}" presName="parentText" presStyleLbl="alignNode1" presStyleIdx="0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22DE821-4374-4C27-809B-62D729D755E2}" type="pres">
      <dgm:prSet presAssocID="{97FC2119-688D-4122-B087-CC29898D7A1E}" presName="descendantText" presStyleLbl="alignAcc1" presStyleIdx="0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1AEDBF5-D8A8-434C-A44C-678FBE2F42C0}" type="pres">
      <dgm:prSet presAssocID="{36541D06-CE76-41F4-8D08-1F38CA8C9C43}" presName="sp" presStyleCnt="0"/>
      <dgm:spPr/>
    </dgm:pt>
    <dgm:pt modelId="{6C823D9D-7B09-4A35-A358-4811E1340992}" type="pres">
      <dgm:prSet presAssocID="{6927A13F-2628-4A20-BF11-116A98AD5AB1}" presName="composite" presStyleCnt="0"/>
      <dgm:spPr/>
    </dgm:pt>
    <dgm:pt modelId="{C0330F27-E20D-45AB-8191-1F275B38546E}" type="pres">
      <dgm:prSet presAssocID="{6927A13F-2628-4A20-BF11-116A98AD5AB1}" presName="parentText" presStyleLbl="alignNode1" presStyleIdx="1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4917AFA-CE1A-48DE-BC1A-70251E318A21}" type="pres">
      <dgm:prSet presAssocID="{6927A13F-2628-4A20-BF11-116A98AD5AB1}" presName="descendantText" presStyleLbl="alignAcc1" presStyleIdx="1" presStyleCnt="2" custLinFactNeighborX="0" custLinFactNeighborY="-122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42F20DD-7622-453D-8A35-1022B4EFB590}" type="presOf" srcId="{E3DCA04C-DFC3-4A1A-8E85-7772D24CBD66}" destId="{32E058C5-A774-40C3-A35B-5E0409B1B8E5}" srcOrd="0" destOrd="0" presId="urn:microsoft.com/office/officeart/2005/8/layout/chevron2"/>
    <dgm:cxn modelId="{6809BA22-C668-479B-A9FA-5EB1FCCC9C56}" type="presOf" srcId="{97FC2119-688D-4122-B087-CC29898D7A1E}" destId="{A36200D0-32F5-4711-9CB6-795BB672262D}" srcOrd="0" destOrd="0" presId="urn:microsoft.com/office/officeart/2005/8/layout/chevron2"/>
    <dgm:cxn modelId="{28631AD8-CA74-4133-AE3F-3041A9DC70B5}" type="presOf" srcId="{6927A13F-2628-4A20-BF11-116A98AD5AB1}" destId="{C0330F27-E20D-45AB-8191-1F275B38546E}" srcOrd="0" destOrd="0" presId="urn:microsoft.com/office/officeart/2005/8/layout/chevron2"/>
    <dgm:cxn modelId="{682FBFA4-1186-428C-B398-93670D1364CA}" srcId="{E3DCA04C-DFC3-4A1A-8E85-7772D24CBD66}" destId="{97FC2119-688D-4122-B087-CC29898D7A1E}" srcOrd="0" destOrd="0" parTransId="{756A8241-ED43-4A0A-A5D4-3DFA4E0FAC60}" sibTransId="{36541D06-CE76-41F4-8D08-1F38CA8C9C43}"/>
    <dgm:cxn modelId="{4206432F-7788-4115-A074-075E60761C67}" type="presOf" srcId="{EE92E431-3DDF-4BC6-9D3A-0A6C60C3C42B}" destId="{322DE821-4374-4C27-809B-62D729D755E2}" srcOrd="0" destOrd="0" presId="urn:microsoft.com/office/officeart/2005/8/layout/chevron2"/>
    <dgm:cxn modelId="{A2C718C3-ABE6-4667-AFAB-231B46ACC99B}" srcId="{6927A13F-2628-4A20-BF11-116A98AD5AB1}" destId="{DEBDC31C-E6D2-46E6-B99E-6205354E3F2A}" srcOrd="0" destOrd="0" parTransId="{E1E1B983-29E4-472A-B114-128F2BC1118D}" sibTransId="{959CE531-0D97-4230-8FBD-AF2D22C82C1A}"/>
    <dgm:cxn modelId="{5F95C0E3-DC48-496C-9117-43E801EEE57D}" srcId="{97FC2119-688D-4122-B087-CC29898D7A1E}" destId="{EE92E431-3DDF-4BC6-9D3A-0A6C60C3C42B}" srcOrd="0" destOrd="0" parTransId="{D5575125-C17F-40B6-9FA3-79B8F92C1440}" sibTransId="{164F1A3D-D4AE-47FE-BB0B-BA891A2163A9}"/>
    <dgm:cxn modelId="{4B1B9FDA-6E3B-416E-86B8-84EEFE0D28A0}" srcId="{E3DCA04C-DFC3-4A1A-8E85-7772D24CBD66}" destId="{6927A13F-2628-4A20-BF11-116A98AD5AB1}" srcOrd="1" destOrd="0" parTransId="{7C4EE3DF-DEB8-400F-8346-97A3BCF2EEFA}" sibTransId="{13CB4AE6-8FF7-4A02-8459-1200B0CFE1D0}"/>
    <dgm:cxn modelId="{FCFB5BE4-8876-4373-AFC5-704D45197FBF}" type="presOf" srcId="{DEBDC31C-E6D2-46E6-B99E-6205354E3F2A}" destId="{D4917AFA-CE1A-48DE-BC1A-70251E318A21}" srcOrd="0" destOrd="0" presId="urn:microsoft.com/office/officeart/2005/8/layout/chevron2"/>
    <dgm:cxn modelId="{A4554565-1498-4DC5-82FC-58233EBB9A9D}" type="presParOf" srcId="{32E058C5-A774-40C3-A35B-5E0409B1B8E5}" destId="{E4059CB8-1E9D-4D43-AC40-AA559EEA9B53}" srcOrd="0" destOrd="0" presId="urn:microsoft.com/office/officeart/2005/8/layout/chevron2"/>
    <dgm:cxn modelId="{BBF1035B-C647-401A-BAF4-89F8C39705BA}" type="presParOf" srcId="{E4059CB8-1E9D-4D43-AC40-AA559EEA9B53}" destId="{A36200D0-32F5-4711-9CB6-795BB672262D}" srcOrd="0" destOrd="0" presId="urn:microsoft.com/office/officeart/2005/8/layout/chevron2"/>
    <dgm:cxn modelId="{387D42ED-82EA-426F-9D5A-04071044DB72}" type="presParOf" srcId="{E4059CB8-1E9D-4D43-AC40-AA559EEA9B53}" destId="{322DE821-4374-4C27-809B-62D729D755E2}" srcOrd="1" destOrd="0" presId="urn:microsoft.com/office/officeart/2005/8/layout/chevron2"/>
    <dgm:cxn modelId="{C068FA59-4864-4CA3-8190-051A1144762F}" type="presParOf" srcId="{32E058C5-A774-40C3-A35B-5E0409B1B8E5}" destId="{41AEDBF5-D8A8-434C-A44C-678FBE2F42C0}" srcOrd="1" destOrd="0" presId="urn:microsoft.com/office/officeart/2005/8/layout/chevron2"/>
    <dgm:cxn modelId="{3D5A90A4-B72B-44DD-8D63-62203C56C0CE}" type="presParOf" srcId="{32E058C5-A774-40C3-A35B-5E0409B1B8E5}" destId="{6C823D9D-7B09-4A35-A358-4811E1340992}" srcOrd="2" destOrd="0" presId="urn:microsoft.com/office/officeart/2005/8/layout/chevron2"/>
    <dgm:cxn modelId="{A6345B3A-954C-4F35-BA06-649121F22A6B}" type="presParOf" srcId="{6C823D9D-7B09-4A35-A358-4811E1340992}" destId="{C0330F27-E20D-45AB-8191-1F275B38546E}" srcOrd="0" destOrd="0" presId="urn:microsoft.com/office/officeart/2005/8/layout/chevron2"/>
    <dgm:cxn modelId="{ABB17084-329F-4F51-A42C-77798ACFD6B1}" type="presParOf" srcId="{6C823D9D-7B09-4A35-A358-4811E1340992}" destId="{D4917AFA-CE1A-48DE-BC1A-70251E318A21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36200D0-32F5-4711-9CB6-795BB672262D}">
      <dsp:nvSpPr>
        <dsp:cNvPr id="0" name=""/>
        <dsp:cNvSpPr/>
      </dsp:nvSpPr>
      <dsp:spPr>
        <a:xfrm rot="5400000">
          <a:off x="-90184" y="90247"/>
          <a:ext cx="601228" cy="42085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b="1" kern="1200"/>
            <a:t>53 %</a:t>
          </a:r>
          <a:endParaRPr lang="ru-RU" sz="1100" b="1" kern="1200"/>
        </a:p>
      </dsp:txBody>
      <dsp:txXfrm rot="5400000">
        <a:off x="-90184" y="90247"/>
        <a:ext cx="601228" cy="420859"/>
      </dsp:txXfrm>
    </dsp:sp>
    <dsp:sp modelId="{322DE821-4374-4C27-809B-62D729D755E2}">
      <dsp:nvSpPr>
        <dsp:cNvPr id="0" name=""/>
        <dsp:cNvSpPr/>
      </dsp:nvSpPr>
      <dsp:spPr>
        <a:xfrm rot="5400000">
          <a:off x="2758230" y="-2337307"/>
          <a:ext cx="390798" cy="506554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200" kern="1200"/>
            <a:t>1,9 млн.грн. - акцизний податок від реалізації пального </a:t>
          </a:r>
          <a:endParaRPr lang="ru-RU" sz="1200" kern="1200"/>
        </a:p>
      </dsp:txBody>
      <dsp:txXfrm rot="5400000">
        <a:off x="2758230" y="-2337307"/>
        <a:ext cx="390798" cy="5065540"/>
      </dsp:txXfrm>
    </dsp:sp>
    <dsp:sp modelId="{C0330F27-E20D-45AB-8191-1F275B38546E}">
      <dsp:nvSpPr>
        <dsp:cNvPr id="0" name=""/>
        <dsp:cNvSpPr/>
      </dsp:nvSpPr>
      <dsp:spPr>
        <a:xfrm rot="5400000">
          <a:off x="-90184" y="565217"/>
          <a:ext cx="601228" cy="420859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100" b="1" kern="1200"/>
            <a:t>47 %</a:t>
          </a:r>
          <a:endParaRPr lang="ru-RU" sz="1100" b="1" kern="1200"/>
        </a:p>
      </dsp:txBody>
      <dsp:txXfrm rot="5400000">
        <a:off x="-90184" y="565217"/>
        <a:ext cx="601228" cy="420859"/>
      </dsp:txXfrm>
    </dsp:sp>
    <dsp:sp modelId="{D4917AFA-CE1A-48DE-BC1A-70251E318A21}">
      <dsp:nvSpPr>
        <dsp:cNvPr id="0" name=""/>
        <dsp:cNvSpPr/>
      </dsp:nvSpPr>
      <dsp:spPr>
        <a:xfrm rot="5400000">
          <a:off x="2758230" y="-1867108"/>
          <a:ext cx="390798" cy="506554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uk-UA" sz="1200" kern="1200"/>
            <a:t>1,7 млн.грн. - акцизний податок від реалізації алкогольних та тютюнових виробів</a:t>
          </a:r>
          <a:endParaRPr lang="ru-RU" sz="1200" kern="1200"/>
        </a:p>
      </dsp:txBody>
      <dsp:txXfrm rot="5400000">
        <a:off x="2758230" y="-1867108"/>
        <a:ext cx="390798" cy="50655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0.37838</cdr:x>
      <cdr:y>0.31022</cdr:y>
    </cdr:from>
    <cdr:to>
      <cdr:x>0.64229</cdr:x>
      <cdr:y>0.43796</cdr:y>
    </cdr:to>
    <cdr:sp macro="" textlink="">
      <cdr:nvSpPr>
        <cdr:cNvPr id="3" name="Прямая со стрелкой 2"/>
        <cdr:cNvSpPr/>
      </cdr:nvSpPr>
      <cdr:spPr>
        <a:xfrm xmlns:a="http://schemas.openxmlformats.org/drawingml/2006/main" flipV="1">
          <a:off x="2266950" y="809625"/>
          <a:ext cx="1581150" cy="333375"/>
        </a:xfrm>
        <a:prstGeom xmlns:a="http://schemas.openxmlformats.org/drawingml/2006/main" prst="straightConnector1">
          <a:avLst/>
        </a:prstGeom>
        <a:ln xmlns:a="http://schemas.openxmlformats.org/drawingml/2006/main" w="25400" cmpd="dbl">
          <a:solidFill>
            <a:srgbClr val="FF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0.38064</cdr:x>
      <cdr:y>0.27012</cdr:y>
    </cdr:from>
    <cdr:to>
      <cdr:x>0.64122</cdr:x>
      <cdr:y>0.38014</cdr:y>
    </cdr:to>
    <cdr:sp macro="" textlink="">
      <cdr:nvSpPr>
        <cdr:cNvPr id="4" name="TextBox 3"/>
        <cdr:cNvSpPr txBox="1"/>
      </cdr:nvSpPr>
      <cdr:spPr>
        <a:xfrm xmlns:a="http://schemas.openxmlformats.org/drawingml/2006/main" rot="20793992">
          <a:off x="2280489" y="704975"/>
          <a:ext cx="1561197" cy="28713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109,3 % (+38,6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0.36458</cdr:x>
      <cdr:y>0.31845</cdr:y>
    </cdr:from>
    <cdr:to>
      <cdr:x>0.61458</cdr:x>
      <cdr:y>0.41964</cdr:y>
    </cdr:to>
    <cdr:sp macro="" textlink="">
      <cdr:nvSpPr>
        <cdr:cNvPr id="3" name="Прямая со стрелкой 2"/>
        <cdr:cNvSpPr/>
      </cdr:nvSpPr>
      <cdr:spPr>
        <a:xfrm xmlns:a="http://schemas.openxmlformats.org/drawingml/2006/main" flipV="1">
          <a:off x="2000250" y="1019175"/>
          <a:ext cx="1371600" cy="323850"/>
        </a:xfrm>
        <a:prstGeom xmlns:a="http://schemas.openxmlformats.org/drawingml/2006/main" prst="straightConnector1">
          <a:avLst/>
        </a:prstGeom>
        <a:ln xmlns:a="http://schemas.openxmlformats.org/drawingml/2006/main" w="25400" cmpd="dbl">
          <a:solidFill>
            <a:srgbClr val="FF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0.31253</cdr:x>
      <cdr:y>0.27881</cdr:y>
    </cdr:from>
    <cdr:to>
      <cdr:x>0.61444</cdr:x>
      <cdr:y>0.36078</cdr:y>
    </cdr:to>
    <cdr:sp macro="" textlink="">
      <cdr:nvSpPr>
        <cdr:cNvPr id="4" name="TextBox 1"/>
        <cdr:cNvSpPr txBox="1"/>
      </cdr:nvSpPr>
      <cdr:spPr>
        <a:xfrm xmlns:a="http://schemas.openxmlformats.org/drawingml/2006/main" rot="20793992">
          <a:off x="1714645" y="892292"/>
          <a:ext cx="1656408" cy="26233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131,4 % (+10,8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0.31833</cdr:x>
      <cdr:y>0.27273</cdr:y>
    </cdr:from>
    <cdr:to>
      <cdr:x>0.3955</cdr:x>
      <cdr:y>0.3771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885950" y="771525"/>
          <a:ext cx="457200" cy="2952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400" b="1"/>
            <a:t>18,9</a:t>
          </a:r>
          <a:endParaRPr lang="ru-RU" sz="1400" b="1"/>
        </a:p>
      </cdr:txBody>
    </cdr:sp>
  </cdr:relSizeAnchor>
  <cdr:relSizeAnchor xmlns:cdr="http://schemas.openxmlformats.org/drawingml/2006/chartDrawing">
    <cdr:from>
      <cdr:x>0.62862</cdr:x>
      <cdr:y>0.19192</cdr:y>
    </cdr:from>
    <cdr:to>
      <cdr:x>0.7299</cdr:x>
      <cdr:y>0.2963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3724274" y="542925"/>
          <a:ext cx="600075" cy="29527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400" b="1"/>
            <a:t>28,1</a:t>
          </a:r>
          <a:endParaRPr lang="ru-RU" sz="1400" b="1"/>
        </a:p>
      </cdr:txBody>
    </cdr:sp>
  </cdr:relSizeAnchor>
  <cdr:relSizeAnchor xmlns:cdr="http://schemas.openxmlformats.org/drawingml/2006/chartDrawing">
    <cdr:from>
      <cdr:x>0.41318</cdr:x>
      <cdr:y>0.27273</cdr:y>
    </cdr:from>
    <cdr:to>
      <cdr:x>0.60289</cdr:x>
      <cdr:y>0.367</cdr:y>
    </cdr:to>
    <cdr:sp macro="" textlink="">
      <cdr:nvSpPr>
        <cdr:cNvPr id="4" name="Прямая со стрелкой 3"/>
        <cdr:cNvSpPr/>
      </cdr:nvSpPr>
      <cdr:spPr>
        <a:xfrm xmlns:a="http://schemas.openxmlformats.org/drawingml/2006/main" flipV="1">
          <a:off x="2447926" y="771525"/>
          <a:ext cx="1123950" cy="266700"/>
        </a:xfrm>
        <a:prstGeom xmlns:a="http://schemas.openxmlformats.org/drawingml/2006/main" prst="straightConnector1">
          <a:avLst/>
        </a:prstGeom>
        <a:noFill xmlns:a="http://schemas.openxmlformats.org/drawingml/2006/main"/>
        <a:ln xmlns:a="http://schemas.openxmlformats.org/drawingml/2006/main" w="25400" cap="flat" cmpd="dbl" algn="ctr">
          <a:solidFill>
            <a:srgbClr val="FF0000"/>
          </a:solidFill>
          <a:prstDash val="solid"/>
          <a:tailEnd type="arrow"/>
        </a:ln>
        <a:effectLst xmlns:a="http://schemas.openxmlformats.org/drawingml/2006/main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ysClr val="windowText" lastClr="000000"/>
              </a:solidFill>
              <a:latin typeface="Calibri"/>
            </a:defRPr>
          </a:lvl1pPr>
          <a:lvl2pPr marL="457200" indent="0">
            <a:defRPr sz="1100">
              <a:solidFill>
                <a:sysClr val="windowText" lastClr="000000"/>
              </a:solidFill>
              <a:latin typeface="Calibri"/>
            </a:defRPr>
          </a:lvl2pPr>
          <a:lvl3pPr marL="914400" indent="0">
            <a:defRPr sz="1100">
              <a:solidFill>
                <a:sysClr val="windowText" lastClr="000000"/>
              </a:solidFill>
              <a:latin typeface="Calibri"/>
            </a:defRPr>
          </a:lvl3pPr>
          <a:lvl4pPr marL="1371600" indent="0">
            <a:defRPr sz="1100">
              <a:solidFill>
                <a:sysClr val="windowText" lastClr="000000"/>
              </a:solidFill>
              <a:latin typeface="Calibri"/>
            </a:defRPr>
          </a:lvl4pPr>
          <a:lvl5pPr marL="1828800" indent="0">
            <a:defRPr sz="1100">
              <a:solidFill>
                <a:sysClr val="windowText" lastClr="000000"/>
              </a:solidFill>
              <a:latin typeface="Calibri"/>
            </a:defRPr>
          </a:lvl5pPr>
          <a:lvl6pPr marL="2286000" indent="0">
            <a:defRPr sz="1100">
              <a:solidFill>
                <a:sysClr val="windowText" lastClr="000000"/>
              </a:solidFill>
              <a:latin typeface="Calibri"/>
            </a:defRPr>
          </a:lvl6pPr>
          <a:lvl7pPr marL="2743200" indent="0">
            <a:defRPr sz="1100">
              <a:solidFill>
                <a:sysClr val="windowText" lastClr="000000"/>
              </a:solidFill>
              <a:latin typeface="Calibri"/>
            </a:defRPr>
          </a:lvl7pPr>
          <a:lvl8pPr marL="3200400" indent="0">
            <a:defRPr sz="1100">
              <a:solidFill>
                <a:sysClr val="windowText" lastClr="000000"/>
              </a:solidFill>
              <a:latin typeface="Calibri"/>
            </a:defRPr>
          </a:lvl8pPr>
          <a:lvl9pPr marL="3657600" indent="0">
            <a:defRPr sz="1100">
              <a:solidFill>
                <a:sysClr val="windowText" lastClr="000000"/>
              </a:solidFill>
              <a:latin typeface="Calibri"/>
            </a:defRPr>
          </a:lvl9pPr>
        </a:lstStyle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0.40338</cdr:x>
      <cdr:y>0.2283</cdr:y>
    </cdr:from>
    <cdr:to>
      <cdr:x>0.58167</cdr:x>
      <cdr:y>0.31334</cdr:y>
    </cdr:to>
    <cdr:sp macro="" textlink="">
      <cdr:nvSpPr>
        <cdr:cNvPr id="5" name="TextBox 1"/>
        <cdr:cNvSpPr txBox="1"/>
      </cdr:nvSpPr>
      <cdr:spPr>
        <a:xfrm xmlns:a="http://schemas.openxmlformats.org/drawingml/2006/main" rot="20761991">
          <a:off x="2389842" y="645846"/>
          <a:ext cx="1056288" cy="24056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148,7 % (+9,2 млн.грн.)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94331-10EC-402D-9280-D5C96922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OFU</Company>
  <LinksUpToDate>false</LinksUpToDate>
  <CharactersWithSpaces>11857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BUV</dc:creator>
  <cp:lastModifiedBy>Администратор</cp:lastModifiedBy>
  <cp:revision>11</cp:revision>
  <cp:lastPrinted>2016-04-14T10:53:00Z</cp:lastPrinted>
  <dcterms:created xsi:type="dcterms:W3CDTF">2015-04-07T08:46:00Z</dcterms:created>
  <dcterms:modified xsi:type="dcterms:W3CDTF">2016-04-14T10:53:00Z</dcterms:modified>
</cp:coreProperties>
</file>