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diagrams/drawing1.xml" ContentType="application/vnd.ms-office.drawingml.diagramDrawing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2F" w:rsidRDefault="00545D38" w:rsidP="00545D3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Інформація </w:t>
      </w:r>
      <w:r w:rsidR="00E3692F">
        <w:rPr>
          <w:b/>
          <w:sz w:val="26"/>
          <w:szCs w:val="26"/>
          <w:lang w:val="uk-UA"/>
        </w:rPr>
        <w:t xml:space="preserve">фінансового управління </w:t>
      </w:r>
      <w:r w:rsidR="00EE0083">
        <w:rPr>
          <w:b/>
          <w:sz w:val="26"/>
          <w:szCs w:val="26"/>
          <w:lang w:val="uk-UA"/>
        </w:rPr>
        <w:t>Чорноморської</w:t>
      </w:r>
      <w:r w:rsidR="00E3692F">
        <w:rPr>
          <w:b/>
          <w:sz w:val="26"/>
          <w:szCs w:val="26"/>
          <w:lang w:val="uk-UA"/>
        </w:rPr>
        <w:t xml:space="preserve"> міської ради </w:t>
      </w:r>
    </w:p>
    <w:p w:rsidR="00545D38" w:rsidRDefault="00545D38" w:rsidP="00545D3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виконання  бюджету міста </w:t>
      </w:r>
      <w:r w:rsidR="00AD7141">
        <w:rPr>
          <w:b/>
          <w:sz w:val="26"/>
          <w:szCs w:val="26"/>
          <w:lang w:val="uk-UA"/>
        </w:rPr>
        <w:t>Чорноморська</w:t>
      </w:r>
      <w:r>
        <w:rPr>
          <w:b/>
          <w:sz w:val="26"/>
          <w:szCs w:val="26"/>
          <w:lang w:val="uk-UA"/>
        </w:rPr>
        <w:t xml:space="preserve"> </w:t>
      </w:r>
    </w:p>
    <w:p w:rsidR="00545D38" w:rsidRDefault="00545D38" w:rsidP="00545D38">
      <w:pPr>
        <w:jc w:val="center"/>
        <w:rPr>
          <w:b/>
          <w:sz w:val="26"/>
          <w:szCs w:val="26"/>
          <w:lang w:val="uk-UA"/>
        </w:rPr>
      </w:pPr>
      <w:r w:rsidRPr="000A187C">
        <w:rPr>
          <w:b/>
          <w:sz w:val="26"/>
          <w:szCs w:val="26"/>
          <w:lang w:val="uk-UA"/>
        </w:rPr>
        <w:t xml:space="preserve">за  </w:t>
      </w:r>
      <w:r w:rsidR="00FE4E54">
        <w:rPr>
          <w:b/>
          <w:sz w:val="26"/>
          <w:szCs w:val="26"/>
          <w:lang w:val="uk-UA"/>
        </w:rPr>
        <w:t>січень</w:t>
      </w:r>
      <w:r w:rsidR="00512794">
        <w:rPr>
          <w:b/>
          <w:sz w:val="26"/>
          <w:szCs w:val="26"/>
          <w:lang w:val="uk-UA"/>
        </w:rPr>
        <w:t xml:space="preserve"> - </w:t>
      </w:r>
      <w:r w:rsidR="00281C62">
        <w:rPr>
          <w:b/>
          <w:sz w:val="26"/>
          <w:szCs w:val="26"/>
          <w:lang w:val="uk-UA"/>
        </w:rPr>
        <w:t>вересень</w:t>
      </w:r>
      <w:r w:rsidR="009F15F4">
        <w:rPr>
          <w:b/>
          <w:sz w:val="26"/>
          <w:szCs w:val="26"/>
          <w:lang w:val="uk-UA"/>
        </w:rPr>
        <w:t xml:space="preserve"> </w:t>
      </w:r>
      <w:r w:rsidR="00FE4E54">
        <w:rPr>
          <w:b/>
          <w:sz w:val="26"/>
          <w:szCs w:val="26"/>
          <w:lang w:val="uk-UA"/>
        </w:rPr>
        <w:t>2016</w:t>
      </w:r>
      <w:r w:rsidRPr="000A187C">
        <w:rPr>
          <w:b/>
          <w:sz w:val="26"/>
          <w:szCs w:val="26"/>
          <w:lang w:val="uk-UA"/>
        </w:rPr>
        <w:t xml:space="preserve"> р</w:t>
      </w:r>
      <w:r w:rsidR="00FE4E54">
        <w:rPr>
          <w:b/>
          <w:sz w:val="26"/>
          <w:szCs w:val="26"/>
          <w:lang w:val="uk-UA"/>
        </w:rPr>
        <w:t>оку</w:t>
      </w:r>
      <w:r w:rsidR="001A46C2">
        <w:rPr>
          <w:b/>
          <w:sz w:val="26"/>
          <w:szCs w:val="26"/>
          <w:lang w:val="uk-UA"/>
        </w:rPr>
        <w:t xml:space="preserve"> </w:t>
      </w:r>
    </w:p>
    <w:p w:rsidR="00545D38" w:rsidRPr="000A187C" w:rsidRDefault="00545D38" w:rsidP="00545D38">
      <w:pPr>
        <w:jc w:val="center"/>
        <w:rPr>
          <w:b/>
          <w:sz w:val="26"/>
          <w:szCs w:val="26"/>
          <w:lang w:val="uk-UA"/>
        </w:rPr>
      </w:pPr>
    </w:p>
    <w:p w:rsidR="00EE0083" w:rsidRDefault="00EE0083" w:rsidP="00EE0083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</w:t>
      </w:r>
      <w:r w:rsidR="009B0232">
        <w:rPr>
          <w:b/>
          <w:sz w:val="26"/>
          <w:szCs w:val="26"/>
          <w:lang w:val="uk-UA"/>
        </w:rPr>
        <w:t>Надходження д</w:t>
      </w:r>
      <w:r>
        <w:rPr>
          <w:b/>
          <w:sz w:val="26"/>
          <w:szCs w:val="26"/>
          <w:lang w:val="uk-UA"/>
        </w:rPr>
        <w:t>о міського</w:t>
      </w:r>
      <w:r w:rsidRPr="001347F8">
        <w:rPr>
          <w:b/>
          <w:sz w:val="26"/>
          <w:szCs w:val="26"/>
          <w:lang w:val="uk-UA"/>
        </w:rPr>
        <w:t xml:space="preserve"> бюджет</w:t>
      </w:r>
      <w:r>
        <w:rPr>
          <w:b/>
          <w:sz w:val="26"/>
          <w:szCs w:val="26"/>
          <w:lang w:val="uk-UA"/>
        </w:rPr>
        <w:t>у</w:t>
      </w:r>
      <w:r w:rsidRPr="001347F8">
        <w:rPr>
          <w:b/>
          <w:sz w:val="26"/>
          <w:szCs w:val="26"/>
          <w:lang w:val="uk-UA"/>
        </w:rPr>
        <w:t xml:space="preserve"> міста </w:t>
      </w:r>
      <w:r>
        <w:rPr>
          <w:b/>
          <w:sz w:val="26"/>
          <w:szCs w:val="26"/>
          <w:lang w:val="uk-UA"/>
        </w:rPr>
        <w:t>Чорноморська</w:t>
      </w:r>
      <w:r w:rsidRPr="001347F8">
        <w:rPr>
          <w:sz w:val="26"/>
          <w:szCs w:val="26"/>
          <w:lang w:val="uk-UA"/>
        </w:rPr>
        <w:t xml:space="preserve"> за січень - </w:t>
      </w:r>
      <w:r w:rsidR="00281C62">
        <w:rPr>
          <w:sz w:val="26"/>
          <w:szCs w:val="26"/>
          <w:lang w:val="uk-UA"/>
        </w:rPr>
        <w:t>вересень</w:t>
      </w:r>
      <w:r w:rsidRPr="001347F8">
        <w:rPr>
          <w:sz w:val="26"/>
          <w:szCs w:val="26"/>
          <w:lang w:val="uk-UA"/>
        </w:rPr>
        <w:t xml:space="preserve"> 201</w:t>
      </w:r>
      <w:r>
        <w:rPr>
          <w:sz w:val="26"/>
          <w:szCs w:val="26"/>
          <w:lang w:val="uk-UA"/>
        </w:rPr>
        <w:t>6</w:t>
      </w:r>
      <w:r w:rsidRPr="001347F8">
        <w:rPr>
          <w:sz w:val="26"/>
          <w:szCs w:val="26"/>
          <w:lang w:val="uk-UA"/>
        </w:rPr>
        <w:t xml:space="preserve"> року </w:t>
      </w:r>
      <w:r w:rsidR="009B0232">
        <w:rPr>
          <w:sz w:val="26"/>
          <w:szCs w:val="26"/>
          <w:lang w:val="uk-UA"/>
        </w:rPr>
        <w:t xml:space="preserve">склали </w:t>
      </w:r>
      <w:r w:rsidR="00281C62">
        <w:rPr>
          <w:sz w:val="26"/>
          <w:szCs w:val="26"/>
          <w:lang w:val="uk-UA"/>
        </w:rPr>
        <w:t>427 885,9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що складає </w:t>
      </w:r>
      <w:r>
        <w:rPr>
          <w:sz w:val="26"/>
          <w:szCs w:val="26"/>
          <w:lang w:val="uk-UA"/>
        </w:rPr>
        <w:t>1</w:t>
      </w:r>
      <w:r w:rsidR="000C7612">
        <w:rPr>
          <w:sz w:val="26"/>
          <w:szCs w:val="26"/>
          <w:lang w:val="uk-UA"/>
        </w:rPr>
        <w:t>0</w:t>
      </w:r>
      <w:r w:rsidR="00281C62">
        <w:rPr>
          <w:sz w:val="26"/>
          <w:szCs w:val="26"/>
          <w:lang w:val="uk-UA"/>
        </w:rPr>
        <w:t>1,5</w:t>
      </w:r>
      <w:r w:rsidRPr="001347F8">
        <w:rPr>
          <w:sz w:val="26"/>
          <w:szCs w:val="26"/>
          <w:lang w:val="uk-UA"/>
        </w:rPr>
        <w:t xml:space="preserve"> % планового показника </w:t>
      </w:r>
      <w:r w:rsidR="00281C62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>-</w:t>
      </w:r>
      <w:r w:rsidR="00281C62">
        <w:rPr>
          <w:sz w:val="26"/>
          <w:szCs w:val="26"/>
          <w:lang w:val="uk-UA"/>
        </w:rPr>
        <w:t>т</w:t>
      </w:r>
      <w:r>
        <w:rPr>
          <w:sz w:val="26"/>
          <w:szCs w:val="26"/>
          <w:lang w:val="uk-UA"/>
        </w:rPr>
        <w:t>и</w:t>
      </w:r>
      <w:r w:rsidRPr="001347F8">
        <w:rPr>
          <w:sz w:val="26"/>
          <w:szCs w:val="26"/>
          <w:lang w:val="uk-UA"/>
        </w:rPr>
        <w:t xml:space="preserve"> місяців</w:t>
      </w:r>
      <w:r>
        <w:rPr>
          <w:sz w:val="26"/>
          <w:szCs w:val="26"/>
          <w:lang w:val="uk-UA"/>
        </w:rPr>
        <w:t xml:space="preserve"> та </w:t>
      </w:r>
      <w:r w:rsidR="004E65C4">
        <w:rPr>
          <w:sz w:val="26"/>
          <w:szCs w:val="26"/>
          <w:lang w:val="uk-UA"/>
        </w:rPr>
        <w:t>7</w:t>
      </w:r>
      <w:r w:rsidR="00281C62">
        <w:rPr>
          <w:sz w:val="26"/>
          <w:szCs w:val="26"/>
          <w:lang w:val="uk-UA"/>
        </w:rPr>
        <w:t>5,9</w:t>
      </w:r>
      <w:r w:rsidRPr="000C7612">
        <w:rPr>
          <w:sz w:val="26"/>
          <w:szCs w:val="26"/>
          <w:lang w:val="uk-UA"/>
        </w:rPr>
        <w:t xml:space="preserve"> % уточненого</w:t>
      </w:r>
      <w:r>
        <w:rPr>
          <w:sz w:val="26"/>
          <w:szCs w:val="26"/>
          <w:lang w:val="uk-UA"/>
        </w:rPr>
        <w:t xml:space="preserve"> річного плану</w:t>
      </w:r>
      <w:r w:rsidRPr="001347F8">
        <w:rPr>
          <w:sz w:val="26"/>
          <w:szCs w:val="26"/>
          <w:lang w:val="uk-UA"/>
        </w:rPr>
        <w:t xml:space="preserve">. В порівнянні  з  відповідним  періодом </w:t>
      </w:r>
      <w:r>
        <w:rPr>
          <w:sz w:val="26"/>
          <w:szCs w:val="26"/>
          <w:lang w:val="uk-UA"/>
        </w:rPr>
        <w:t>м</w:t>
      </w:r>
      <w:r w:rsidRPr="001347F8">
        <w:rPr>
          <w:sz w:val="26"/>
          <w:szCs w:val="26"/>
          <w:lang w:val="uk-UA"/>
        </w:rPr>
        <w:t xml:space="preserve">инулого  року  </w:t>
      </w:r>
      <w:r w:rsidR="009B0232">
        <w:rPr>
          <w:sz w:val="26"/>
          <w:szCs w:val="26"/>
          <w:lang w:val="uk-UA"/>
        </w:rPr>
        <w:t xml:space="preserve">надходження до </w:t>
      </w:r>
      <w:r w:rsidRPr="001347F8">
        <w:rPr>
          <w:sz w:val="26"/>
          <w:szCs w:val="26"/>
          <w:lang w:val="uk-UA"/>
        </w:rPr>
        <w:t xml:space="preserve">міського   бюджету  збільшились  </w:t>
      </w:r>
      <w:r w:rsidR="009B0232">
        <w:rPr>
          <w:sz w:val="26"/>
          <w:szCs w:val="26"/>
          <w:lang w:val="uk-UA"/>
        </w:rPr>
        <w:t xml:space="preserve">                                              </w:t>
      </w:r>
      <w:r w:rsidRPr="001347F8">
        <w:rPr>
          <w:sz w:val="26"/>
          <w:szCs w:val="26"/>
          <w:lang w:val="uk-UA"/>
        </w:rPr>
        <w:t xml:space="preserve">на  </w:t>
      </w:r>
      <w:r w:rsidR="004E65C4">
        <w:rPr>
          <w:sz w:val="26"/>
          <w:szCs w:val="26"/>
          <w:lang w:val="uk-UA"/>
        </w:rPr>
        <w:t>1</w:t>
      </w:r>
      <w:r w:rsidR="00281C62">
        <w:rPr>
          <w:sz w:val="26"/>
          <w:szCs w:val="26"/>
          <w:lang w:val="uk-UA"/>
        </w:rPr>
        <w:t>25 409,0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 xml:space="preserve">. грн., або на </w:t>
      </w:r>
      <w:r>
        <w:rPr>
          <w:sz w:val="26"/>
          <w:szCs w:val="26"/>
          <w:lang w:val="uk-UA"/>
        </w:rPr>
        <w:t>4</w:t>
      </w:r>
      <w:r w:rsidR="00281C62">
        <w:rPr>
          <w:sz w:val="26"/>
          <w:szCs w:val="26"/>
          <w:lang w:val="uk-UA"/>
        </w:rPr>
        <w:t>1,5</w:t>
      </w:r>
      <w:r w:rsidRPr="001347F8">
        <w:rPr>
          <w:sz w:val="26"/>
          <w:szCs w:val="26"/>
          <w:lang w:val="uk-UA"/>
        </w:rPr>
        <w:t xml:space="preserve"> %.</w:t>
      </w:r>
    </w:p>
    <w:p w:rsidR="00595A59" w:rsidRDefault="00595A59" w:rsidP="001440A6">
      <w:pPr>
        <w:jc w:val="both"/>
        <w:rPr>
          <w:lang w:val="uk-UA"/>
        </w:rPr>
      </w:pPr>
    </w:p>
    <w:p w:rsidR="00281C62" w:rsidRDefault="00281C62" w:rsidP="00EE0083">
      <w:pPr>
        <w:tabs>
          <w:tab w:val="left" w:pos="284"/>
        </w:tabs>
        <w:jc w:val="both"/>
        <w:rPr>
          <w:sz w:val="26"/>
          <w:szCs w:val="26"/>
          <w:lang w:val="uk-UA"/>
        </w:rPr>
      </w:pPr>
      <w:r w:rsidRPr="00281C62">
        <w:rPr>
          <w:noProof/>
          <w:sz w:val="26"/>
          <w:szCs w:val="26"/>
        </w:rPr>
        <w:drawing>
          <wp:inline distT="0" distB="0" distL="0" distR="0">
            <wp:extent cx="5940425" cy="2531055"/>
            <wp:effectExtent l="19050" t="0" r="22225" b="259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F3BBD" w:rsidRDefault="005F3BBD" w:rsidP="00EE0083">
      <w:pPr>
        <w:tabs>
          <w:tab w:val="left" w:pos="284"/>
        </w:tabs>
        <w:jc w:val="both"/>
        <w:rPr>
          <w:sz w:val="26"/>
          <w:szCs w:val="26"/>
          <w:lang w:val="uk-UA"/>
        </w:rPr>
      </w:pPr>
    </w:p>
    <w:p w:rsidR="00EE0083" w:rsidRPr="00BB733A" w:rsidRDefault="00EE0083" w:rsidP="00EE0083">
      <w:pPr>
        <w:tabs>
          <w:tab w:val="left" w:pos="284"/>
        </w:tabs>
        <w:jc w:val="both"/>
        <w:rPr>
          <w:i/>
          <w:lang w:val="uk-UA"/>
        </w:rPr>
      </w:pPr>
      <w:r w:rsidRPr="001347F8">
        <w:rPr>
          <w:sz w:val="26"/>
          <w:szCs w:val="26"/>
          <w:lang w:val="uk-UA"/>
        </w:rPr>
        <w:t xml:space="preserve">       В загальних обсягах надходжень до міського бюджету </w:t>
      </w:r>
      <w:r w:rsidRPr="00B67AD2">
        <w:rPr>
          <w:b/>
          <w:sz w:val="26"/>
          <w:szCs w:val="26"/>
          <w:lang w:val="uk-UA"/>
        </w:rPr>
        <w:t>субвенції</w:t>
      </w:r>
      <w:r w:rsidRPr="001347F8">
        <w:rPr>
          <w:sz w:val="26"/>
          <w:szCs w:val="26"/>
          <w:lang w:val="uk-UA"/>
        </w:rPr>
        <w:t xml:space="preserve"> з державного</w:t>
      </w:r>
      <w:r>
        <w:rPr>
          <w:sz w:val="26"/>
          <w:szCs w:val="26"/>
          <w:lang w:val="uk-UA"/>
        </w:rPr>
        <w:t xml:space="preserve"> та обласного</w:t>
      </w:r>
      <w:r w:rsidRPr="001347F8">
        <w:rPr>
          <w:sz w:val="26"/>
          <w:szCs w:val="26"/>
          <w:lang w:val="uk-UA"/>
        </w:rPr>
        <w:t xml:space="preserve"> бюджет</w:t>
      </w:r>
      <w:r>
        <w:rPr>
          <w:sz w:val="26"/>
          <w:szCs w:val="26"/>
          <w:lang w:val="uk-UA"/>
        </w:rPr>
        <w:t>ів</w:t>
      </w:r>
      <w:r w:rsidRPr="001347F8">
        <w:rPr>
          <w:sz w:val="26"/>
          <w:szCs w:val="26"/>
          <w:lang w:val="uk-UA"/>
        </w:rPr>
        <w:t xml:space="preserve"> складають</w:t>
      </w:r>
      <w:r>
        <w:rPr>
          <w:sz w:val="26"/>
          <w:szCs w:val="26"/>
          <w:lang w:val="uk-UA"/>
        </w:rPr>
        <w:t xml:space="preserve"> </w:t>
      </w:r>
      <w:r w:rsidR="00281C62">
        <w:rPr>
          <w:sz w:val="26"/>
          <w:szCs w:val="26"/>
          <w:lang w:val="uk-UA"/>
        </w:rPr>
        <w:t>120 440,5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із яких </w:t>
      </w:r>
      <w:r w:rsidR="00281C62">
        <w:rPr>
          <w:sz w:val="26"/>
          <w:szCs w:val="26"/>
          <w:lang w:val="uk-UA"/>
        </w:rPr>
        <w:t>66 722,6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>. грн. соціальн</w:t>
      </w:r>
      <w:r>
        <w:rPr>
          <w:sz w:val="26"/>
          <w:szCs w:val="26"/>
          <w:lang w:val="uk-UA"/>
        </w:rPr>
        <w:t>і</w:t>
      </w:r>
      <w:r w:rsidRPr="001347F8">
        <w:rPr>
          <w:sz w:val="26"/>
          <w:szCs w:val="26"/>
          <w:lang w:val="uk-UA"/>
        </w:rPr>
        <w:t xml:space="preserve"> </w:t>
      </w:r>
      <w:r w:rsidRPr="00BB733A">
        <w:rPr>
          <w:sz w:val="26"/>
          <w:szCs w:val="26"/>
          <w:lang w:val="uk-UA"/>
        </w:rPr>
        <w:t xml:space="preserve">субвенції, </w:t>
      </w:r>
      <w:r w:rsidR="000C7612">
        <w:rPr>
          <w:sz w:val="26"/>
          <w:szCs w:val="26"/>
          <w:lang w:val="uk-UA"/>
        </w:rPr>
        <w:t>4</w:t>
      </w:r>
      <w:r w:rsidR="00281C62">
        <w:rPr>
          <w:sz w:val="26"/>
          <w:szCs w:val="26"/>
          <w:lang w:val="uk-UA"/>
        </w:rPr>
        <w:t>7 219,2</w:t>
      </w:r>
      <w:r w:rsidRPr="00BB733A">
        <w:rPr>
          <w:sz w:val="26"/>
          <w:szCs w:val="26"/>
          <w:lang w:val="uk-UA"/>
        </w:rPr>
        <w:t xml:space="preserve"> тис. грн. - освітня субвенція </w:t>
      </w:r>
      <w:r>
        <w:rPr>
          <w:sz w:val="26"/>
          <w:szCs w:val="26"/>
          <w:lang w:val="uk-UA"/>
        </w:rPr>
        <w:t xml:space="preserve"> </w:t>
      </w:r>
      <w:r w:rsidRPr="00BB733A">
        <w:rPr>
          <w:sz w:val="26"/>
          <w:szCs w:val="26"/>
          <w:lang w:val="uk-UA"/>
        </w:rPr>
        <w:t xml:space="preserve">та </w:t>
      </w:r>
      <w:r w:rsidR="004E65C4">
        <w:rPr>
          <w:sz w:val="26"/>
          <w:szCs w:val="26"/>
          <w:lang w:val="uk-UA"/>
        </w:rPr>
        <w:t xml:space="preserve">6 </w:t>
      </w:r>
      <w:r w:rsidR="00281C62">
        <w:rPr>
          <w:sz w:val="26"/>
          <w:szCs w:val="26"/>
          <w:lang w:val="uk-UA"/>
        </w:rPr>
        <w:t>498,7</w:t>
      </w:r>
      <w:r w:rsidRPr="00BB733A">
        <w:rPr>
          <w:sz w:val="26"/>
          <w:szCs w:val="26"/>
          <w:lang w:val="uk-UA"/>
        </w:rPr>
        <w:t xml:space="preserve"> </w:t>
      </w:r>
      <w:proofErr w:type="spellStart"/>
      <w:r w:rsidRPr="00BB733A">
        <w:rPr>
          <w:sz w:val="26"/>
          <w:szCs w:val="26"/>
          <w:lang w:val="uk-UA"/>
        </w:rPr>
        <w:t>тис.грн</w:t>
      </w:r>
      <w:proofErr w:type="spellEnd"/>
      <w:r w:rsidRPr="00BB733A">
        <w:rPr>
          <w:sz w:val="26"/>
          <w:szCs w:val="26"/>
          <w:lang w:val="uk-UA"/>
        </w:rPr>
        <w:t xml:space="preserve">. – субвенція </w:t>
      </w:r>
      <w:r w:rsidR="009B0232">
        <w:rPr>
          <w:sz w:val="26"/>
          <w:szCs w:val="26"/>
          <w:lang w:val="uk-UA"/>
        </w:rPr>
        <w:t xml:space="preserve">з </w:t>
      </w:r>
      <w:r w:rsidRPr="00BB733A">
        <w:rPr>
          <w:sz w:val="26"/>
          <w:szCs w:val="26"/>
          <w:lang w:val="uk-UA"/>
        </w:rPr>
        <w:t xml:space="preserve">обласного бюджету на інвестиційні проекти </w:t>
      </w:r>
      <w:r w:rsidRPr="00BB733A">
        <w:rPr>
          <w:lang w:val="uk-UA"/>
        </w:rPr>
        <w:t>(</w:t>
      </w:r>
      <w:r w:rsidRPr="00BB733A">
        <w:rPr>
          <w:i/>
          <w:lang w:val="uk-UA"/>
        </w:rPr>
        <w:t xml:space="preserve">на встановлення будинкових приладів обліку (вузлів обліку) теплової енергії - </w:t>
      </w:r>
      <w:r w:rsidR="004E65C4">
        <w:rPr>
          <w:i/>
          <w:lang w:val="uk-UA"/>
        </w:rPr>
        <w:t xml:space="preserve">2 </w:t>
      </w:r>
      <w:r w:rsidR="00281C62">
        <w:rPr>
          <w:i/>
          <w:lang w:val="uk-UA"/>
        </w:rPr>
        <w:t>498,7</w:t>
      </w:r>
      <w:r w:rsidRPr="00BB733A">
        <w:rPr>
          <w:i/>
          <w:lang w:val="uk-UA"/>
        </w:rPr>
        <w:t xml:space="preserve"> </w:t>
      </w:r>
      <w:proofErr w:type="spellStart"/>
      <w:r w:rsidRPr="00BB733A">
        <w:rPr>
          <w:i/>
          <w:lang w:val="uk-UA"/>
        </w:rPr>
        <w:t>тис.грн</w:t>
      </w:r>
      <w:proofErr w:type="spellEnd"/>
      <w:r w:rsidRPr="00BB733A">
        <w:rPr>
          <w:i/>
          <w:lang w:val="uk-UA"/>
        </w:rPr>
        <w:t>.;</w:t>
      </w:r>
      <w:r>
        <w:rPr>
          <w:i/>
          <w:lang w:val="uk-UA"/>
        </w:rPr>
        <w:t xml:space="preserve"> </w:t>
      </w:r>
      <w:r w:rsidRPr="00BB733A">
        <w:rPr>
          <w:i/>
          <w:lang w:val="uk-UA"/>
        </w:rPr>
        <w:t xml:space="preserve">на будівництво малосімейного гуртожитку для працівників закладів освіти із зовнішніми інженерними мережами, за адресою: Одеська область, </w:t>
      </w:r>
      <w:proofErr w:type="spellStart"/>
      <w:r w:rsidRPr="00BB733A">
        <w:rPr>
          <w:i/>
          <w:lang w:val="uk-UA"/>
        </w:rPr>
        <w:t>м.</w:t>
      </w:r>
      <w:r w:rsidR="00281C62">
        <w:rPr>
          <w:i/>
          <w:lang w:val="uk-UA"/>
        </w:rPr>
        <w:t>Чорноморськ</w:t>
      </w:r>
      <w:proofErr w:type="spellEnd"/>
      <w:r w:rsidRPr="00BB733A">
        <w:rPr>
          <w:i/>
          <w:lang w:val="uk-UA"/>
        </w:rPr>
        <w:t xml:space="preserve">, село </w:t>
      </w:r>
      <w:proofErr w:type="spellStart"/>
      <w:r w:rsidRPr="00BB733A">
        <w:rPr>
          <w:i/>
          <w:lang w:val="uk-UA"/>
        </w:rPr>
        <w:t>Малодолинське</w:t>
      </w:r>
      <w:proofErr w:type="spellEnd"/>
      <w:r w:rsidRPr="00BB733A">
        <w:rPr>
          <w:i/>
          <w:lang w:val="uk-UA"/>
        </w:rPr>
        <w:t xml:space="preserve">, вулиця </w:t>
      </w:r>
      <w:r>
        <w:rPr>
          <w:i/>
          <w:lang w:val="uk-UA"/>
        </w:rPr>
        <w:t xml:space="preserve">           </w:t>
      </w:r>
      <w:r w:rsidRPr="00BB733A">
        <w:rPr>
          <w:i/>
          <w:lang w:val="uk-UA"/>
        </w:rPr>
        <w:t>Зелена, 1 -</w:t>
      </w:r>
      <w:r w:rsidR="00281C62">
        <w:rPr>
          <w:i/>
          <w:lang w:val="uk-UA"/>
        </w:rPr>
        <w:t xml:space="preserve"> </w:t>
      </w:r>
      <w:r w:rsidR="004E65C4">
        <w:rPr>
          <w:i/>
          <w:lang w:val="uk-UA"/>
        </w:rPr>
        <w:t>4 000,0</w:t>
      </w:r>
      <w:r w:rsidRPr="00BB733A">
        <w:rPr>
          <w:i/>
          <w:lang w:val="uk-UA"/>
        </w:rPr>
        <w:t xml:space="preserve"> </w:t>
      </w:r>
      <w:proofErr w:type="spellStart"/>
      <w:r w:rsidRPr="00BB733A">
        <w:rPr>
          <w:i/>
          <w:lang w:val="uk-UA"/>
        </w:rPr>
        <w:t>тис.грн</w:t>
      </w:r>
      <w:proofErr w:type="spellEnd"/>
      <w:r w:rsidRPr="00BB733A">
        <w:rPr>
          <w:i/>
          <w:lang w:val="uk-UA"/>
        </w:rPr>
        <w:t>.</w:t>
      </w:r>
      <w:r>
        <w:rPr>
          <w:i/>
          <w:lang w:val="uk-UA"/>
        </w:rPr>
        <w:t>).</w:t>
      </w:r>
    </w:p>
    <w:p w:rsidR="00FF1243" w:rsidRDefault="00FF1243" w:rsidP="00B9495D">
      <w:pPr>
        <w:jc w:val="both"/>
        <w:rPr>
          <w:lang w:val="uk-UA"/>
        </w:rPr>
      </w:pPr>
    </w:p>
    <w:p w:rsidR="005F3BBD" w:rsidRDefault="005F3BBD" w:rsidP="00953609">
      <w:pPr>
        <w:jc w:val="both"/>
        <w:rPr>
          <w:sz w:val="26"/>
          <w:szCs w:val="26"/>
          <w:lang w:val="uk-UA"/>
        </w:rPr>
      </w:pPr>
      <w:r w:rsidRPr="005F3BBD">
        <w:rPr>
          <w:noProof/>
          <w:sz w:val="26"/>
          <w:szCs w:val="26"/>
        </w:rPr>
        <w:drawing>
          <wp:inline distT="0" distB="0" distL="0" distR="0">
            <wp:extent cx="5940425" cy="3314927"/>
            <wp:effectExtent l="19050" t="0" r="222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953609" w:rsidRPr="001347F8">
        <w:rPr>
          <w:sz w:val="26"/>
          <w:szCs w:val="26"/>
          <w:lang w:val="uk-UA"/>
        </w:rPr>
        <w:t xml:space="preserve"> </w:t>
      </w:r>
    </w:p>
    <w:p w:rsidR="00953609" w:rsidRPr="001347F8" w:rsidRDefault="00953609" w:rsidP="00953609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lastRenderedPageBreak/>
        <w:t xml:space="preserve">    </w:t>
      </w:r>
      <w:r w:rsidRPr="001347F8">
        <w:rPr>
          <w:b/>
          <w:sz w:val="26"/>
          <w:szCs w:val="26"/>
          <w:lang w:val="uk-UA"/>
        </w:rPr>
        <w:t>До загального фонду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міського </w:t>
      </w:r>
      <w:r w:rsidRPr="001347F8">
        <w:rPr>
          <w:sz w:val="26"/>
          <w:szCs w:val="26"/>
          <w:lang w:val="uk-UA"/>
        </w:rPr>
        <w:t xml:space="preserve">бюджету міста </w:t>
      </w:r>
      <w:r>
        <w:rPr>
          <w:sz w:val="26"/>
          <w:szCs w:val="26"/>
          <w:lang w:val="uk-UA"/>
        </w:rPr>
        <w:t>Чорноморська</w:t>
      </w:r>
      <w:r w:rsidRPr="001347F8">
        <w:rPr>
          <w:sz w:val="26"/>
          <w:szCs w:val="26"/>
          <w:lang w:val="uk-UA"/>
        </w:rPr>
        <w:t xml:space="preserve">  надійшло доходів (без урахування субвенцій з державного бюджету) в обсязі</w:t>
      </w:r>
      <w:r>
        <w:rPr>
          <w:sz w:val="26"/>
          <w:szCs w:val="26"/>
          <w:lang w:val="uk-UA"/>
        </w:rPr>
        <w:t xml:space="preserve"> </w:t>
      </w:r>
      <w:r w:rsidR="004E65C4">
        <w:rPr>
          <w:sz w:val="26"/>
          <w:szCs w:val="26"/>
          <w:lang w:val="uk-UA"/>
        </w:rPr>
        <w:t>2</w:t>
      </w:r>
      <w:r w:rsidR="00281C62">
        <w:rPr>
          <w:sz w:val="26"/>
          <w:szCs w:val="26"/>
          <w:lang w:val="uk-UA"/>
        </w:rPr>
        <w:t>85827,6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 xml:space="preserve">. грн., або </w:t>
      </w:r>
      <w:r>
        <w:rPr>
          <w:sz w:val="26"/>
          <w:szCs w:val="26"/>
          <w:lang w:val="uk-UA"/>
        </w:rPr>
        <w:t>1</w:t>
      </w:r>
      <w:r w:rsidR="000C7612">
        <w:rPr>
          <w:sz w:val="26"/>
          <w:szCs w:val="26"/>
          <w:lang w:val="uk-UA"/>
        </w:rPr>
        <w:t>0</w:t>
      </w:r>
      <w:r w:rsidR="00281C62">
        <w:rPr>
          <w:sz w:val="26"/>
          <w:szCs w:val="26"/>
          <w:lang w:val="uk-UA"/>
        </w:rPr>
        <w:t>2,8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 xml:space="preserve">% до </w:t>
      </w:r>
      <w:r w:rsidR="009B0232">
        <w:rPr>
          <w:sz w:val="26"/>
          <w:szCs w:val="26"/>
          <w:lang w:val="uk-UA"/>
        </w:rPr>
        <w:t xml:space="preserve">уточненого </w:t>
      </w:r>
      <w:r w:rsidRPr="001347F8">
        <w:rPr>
          <w:sz w:val="26"/>
          <w:szCs w:val="26"/>
          <w:lang w:val="uk-UA"/>
        </w:rPr>
        <w:t xml:space="preserve">плану </w:t>
      </w:r>
      <w:r w:rsidR="00281C62">
        <w:rPr>
          <w:sz w:val="26"/>
          <w:szCs w:val="26"/>
          <w:lang w:val="uk-UA"/>
        </w:rPr>
        <w:t>9</w:t>
      </w:r>
      <w:r w:rsidR="000C7612">
        <w:rPr>
          <w:sz w:val="26"/>
          <w:szCs w:val="26"/>
          <w:lang w:val="uk-UA"/>
        </w:rPr>
        <w:t>-</w:t>
      </w:r>
      <w:r w:rsidR="00281C62">
        <w:rPr>
          <w:sz w:val="26"/>
          <w:szCs w:val="26"/>
          <w:lang w:val="uk-UA"/>
        </w:rPr>
        <w:t>т</w:t>
      </w:r>
      <w:r w:rsidR="000C7612">
        <w:rPr>
          <w:sz w:val="26"/>
          <w:szCs w:val="26"/>
          <w:lang w:val="uk-UA"/>
        </w:rPr>
        <w:t>и місяців</w:t>
      </w:r>
      <w:r w:rsidRPr="001347F8">
        <w:rPr>
          <w:sz w:val="26"/>
          <w:szCs w:val="26"/>
          <w:lang w:val="uk-UA"/>
        </w:rPr>
        <w:t xml:space="preserve"> поточного року</w:t>
      </w:r>
      <w:r>
        <w:rPr>
          <w:sz w:val="26"/>
          <w:szCs w:val="26"/>
          <w:lang w:val="uk-UA"/>
        </w:rPr>
        <w:t xml:space="preserve"> та </w:t>
      </w:r>
      <w:r w:rsidR="00281C62">
        <w:rPr>
          <w:sz w:val="26"/>
          <w:szCs w:val="26"/>
          <w:lang w:val="uk-UA"/>
        </w:rPr>
        <w:t>75,7</w:t>
      </w:r>
      <w:r w:rsidRPr="000C7612">
        <w:rPr>
          <w:sz w:val="26"/>
          <w:szCs w:val="26"/>
          <w:lang w:val="uk-UA"/>
        </w:rPr>
        <w:t xml:space="preserve"> %</w:t>
      </w:r>
      <w:r>
        <w:rPr>
          <w:sz w:val="26"/>
          <w:szCs w:val="26"/>
          <w:lang w:val="uk-UA"/>
        </w:rPr>
        <w:t xml:space="preserve"> </w:t>
      </w:r>
      <w:r w:rsidR="009B0232">
        <w:rPr>
          <w:sz w:val="26"/>
          <w:szCs w:val="26"/>
          <w:lang w:val="uk-UA"/>
        </w:rPr>
        <w:t>до</w:t>
      </w:r>
      <w:r>
        <w:rPr>
          <w:sz w:val="26"/>
          <w:szCs w:val="26"/>
          <w:lang w:val="uk-UA"/>
        </w:rPr>
        <w:t xml:space="preserve"> уточненого річного плану. В</w:t>
      </w:r>
      <w:r w:rsidRPr="001347F8">
        <w:rPr>
          <w:sz w:val="26"/>
          <w:szCs w:val="26"/>
          <w:lang w:val="uk-UA"/>
        </w:rPr>
        <w:t xml:space="preserve"> порівнянні з аналогічним періодом 201</w:t>
      </w:r>
      <w:r>
        <w:rPr>
          <w:sz w:val="26"/>
          <w:szCs w:val="26"/>
          <w:lang w:val="uk-UA"/>
        </w:rPr>
        <w:t>5</w:t>
      </w:r>
      <w:r w:rsidRPr="001347F8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 xml:space="preserve">надходження </w:t>
      </w:r>
      <w:r w:rsidRPr="001347F8">
        <w:rPr>
          <w:sz w:val="26"/>
          <w:szCs w:val="26"/>
          <w:lang w:val="uk-UA"/>
        </w:rPr>
        <w:t xml:space="preserve">збільшились на </w:t>
      </w:r>
      <w:r w:rsidR="004E65C4">
        <w:rPr>
          <w:sz w:val="26"/>
          <w:szCs w:val="26"/>
          <w:lang w:val="uk-UA"/>
        </w:rPr>
        <w:t xml:space="preserve"> </w:t>
      </w:r>
      <w:r w:rsidR="00750DDB">
        <w:rPr>
          <w:sz w:val="26"/>
          <w:szCs w:val="26"/>
          <w:lang w:val="uk-UA"/>
        </w:rPr>
        <w:t>43,</w:t>
      </w:r>
      <w:r w:rsidR="00281C62">
        <w:rPr>
          <w:sz w:val="26"/>
          <w:szCs w:val="26"/>
          <w:lang w:val="uk-UA"/>
        </w:rPr>
        <w:t>7</w:t>
      </w:r>
      <w:r w:rsidRPr="001347F8">
        <w:rPr>
          <w:sz w:val="26"/>
          <w:szCs w:val="26"/>
          <w:lang w:val="uk-UA"/>
        </w:rPr>
        <w:t xml:space="preserve"> %, або 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 xml:space="preserve">на </w:t>
      </w:r>
      <w:r w:rsidR="00281C62">
        <w:rPr>
          <w:sz w:val="26"/>
          <w:szCs w:val="26"/>
          <w:lang w:val="uk-UA"/>
        </w:rPr>
        <w:t>86 941,8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гривень. </w:t>
      </w:r>
    </w:p>
    <w:p w:rsidR="0007659D" w:rsidRDefault="0007659D" w:rsidP="00B9495D">
      <w:pPr>
        <w:jc w:val="both"/>
        <w:rPr>
          <w:lang w:val="uk-UA"/>
        </w:rPr>
      </w:pPr>
    </w:p>
    <w:p w:rsidR="00953609" w:rsidRPr="001347F8" w:rsidRDefault="00953609" w:rsidP="00953609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   Основним</w:t>
      </w:r>
      <w:r w:rsidR="00281C62">
        <w:rPr>
          <w:sz w:val="26"/>
          <w:szCs w:val="26"/>
          <w:lang w:val="uk-UA"/>
        </w:rPr>
        <w:t>и</w:t>
      </w:r>
      <w:r w:rsidRPr="001347F8">
        <w:rPr>
          <w:sz w:val="26"/>
          <w:szCs w:val="26"/>
          <w:lang w:val="uk-UA"/>
        </w:rPr>
        <w:t xml:space="preserve"> джерел</w:t>
      </w:r>
      <w:r w:rsidR="00281C62">
        <w:rPr>
          <w:sz w:val="26"/>
          <w:szCs w:val="26"/>
          <w:lang w:val="uk-UA"/>
        </w:rPr>
        <w:t>ами</w:t>
      </w:r>
      <w:r w:rsidRPr="001347F8">
        <w:rPr>
          <w:sz w:val="26"/>
          <w:szCs w:val="26"/>
          <w:lang w:val="uk-UA"/>
        </w:rPr>
        <w:t xml:space="preserve"> наповнення міського бюджету </w:t>
      </w:r>
      <w:r w:rsidR="00281C62">
        <w:rPr>
          <w:sz w:val="26"/>
          <w:szCs w:val="26"/>
          <w:lang w:val="uk-UA"/>
        </w:rPr>
        <w:t>є</w:t>
      </w:r>
      <w:r w:rsidRPr="001347F8">
        <w:rPr>
          <w:sz w:val="26"/>
          <w:szCs w:val="26"/>
          <w:lang w:val="uk-UA"/>
        </w:rPr>
        <w:t xml:space="preserve"> податок на доходи фізичних осіб та плата за землю.</w:t>
      </w:r>
    </w:p>
    <w:p w:rsidR="00953609" w:rsidRDefault="00953609" w:rsidP="00953609">
      <w:pPr>
        <w:jc w:val="both"/>
        <w:rPr>
          <w:sz w:val="26"/>
          <w:szCs w:val="26"/>
          <w:lang w:val="uk-UA"/>
        </w:rPr>
      </w:pPr>
    </w:p>
    <w:p w:rsidR="00953609" w:rsidRPr="00915C89" w:rsidRDefault="00953609" w:rsidP="00953609">
      <w:pPr>
        <w:jc w:val="both"/>
        <w:rPr>
          <w:sz w:val="26"/>
          <w:szCs w:val="26"/>
          <w:lang w:val="uk-UA"/>
        </w:rPr>
      </w:pPr>
      <w:r w:rsidRPr="00915C89">
        <w:rPr>
          <w:sz w:val="26"/>
          <w:szCs w:val="26"/>
          <w:lang w:val="uk-UA"/>
        </w:rPr>
        <w:t xml:space="preserve">        Відповідно до ст.64 Бюджетного кодексу України до доходів загального фонду бюджетів міст обласного значення належать </w:t>
      </w:r>
      <w:r w:rsidRPr="00915C89">
        <w:rPr>
          <w:b/>
          <w:sz w:val="26"/>
          <w:szCs w:val="26"/>
          <w:lang w:val="uk-UA"/>
        </w:rPr>
        <w:t>60 відсотків податку на доходи фізичних осіб</w:t>
      </w:r>
      <w:r w:rsidRPr="00915C89">
        <w:rPr>
          <w:sz w:val="26"/>
          <w:szCs w:val="26"/>
          <w:lang w:val="uk-UA"/>
        </w:rPr>
        <w:t xml:space="preserve"> (25 % зараховується до державного бюджету, 15 % - до обласного).</w:t>
      </w:r>
    </w:p>
    <w:p w:rsidR="00953609" w:rsidRDefault="00953609" w:rsidP="00953609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    Так, за січень - </w:t>
      </w:r>
      <w:r w:rsidR="00281C62">
        <w:rPr>
          <w:sz w:val="26"/>
          <w:szCs w:val="26"/>
          <w:lang w:val="uk-UA"/>
        </w:rPr>
        <w:t>вересень</w:t>
      </w:r>
      <w:r w:rsidRPr="001347F8">
        <w:rPr>
          <w:sz w:val="26"/>
          <w:szCs w:val="26"/>
          <w:lang w:val="uk-UA"/>
        </w:rPr>
        <w:t xml:space="preserve"> поточного року податку на доходи фізичних осіб надійшло </w:t>
      </w:r>
      <w:r w:rsidR="00281C62">
        <w:rPr>
          <w:sz w:val="26"/>
          <w:szCs w:val="26"/>
          <w:lang w:val="uk-UA"/>
        </w:rPr>
        <w:t>150 025,4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що на </w:t>
      </w:r>
      <w:r w:rsidR="00363C76">
        <w:rPr>
          <w:sz w:val="26"/>
          <w:szCs w:val="26"/>
          <w:lang w:val="uk-UA"/>
        </w:rPr>
        <w:t>4</w:t>
      </w:r>
      <w:r w:rsidR="00281C62">
        <w:rPr>
          <w:sz w:val="26"/>
          <w:szCs w:val="26"/>
          <w:lang w:val="uk-UA"/>
        </w:rPr>
        <w:t>7 286,5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 </w:t>
      </w:r>
      <w:r>
        <w:rPr>
          <w:sz w:val="26"/>
          <w:szCs w:val="26"/>
          <w:lang w:val="uk-UA"/>
        </w:rPr>
        <w:t>більше</w:t>
      </w:r>
      <w:r w:rsidRPr="001347F8">
        <w:rPr>
          <w:sz w:val="26"/>
          <w:szCs w:val="26"/>
          <w:lang w:val="uk-UA"/>
        </w:rPr>
        <w:t xml:space="preserve"> надходжень </w:t>
      </w:r>
      <w:r w:rsidR="000C7612">
        <w:rPr>
          <w:sz w:val="26"/>
          <w:szCs w:val="26"/>
          <w:lang w:val="uk-UA"/>
        </w:rPr>
        <w:t xml:space="preserve">аналогічного періоду </w:t>
      </w:r>
      <w:r w:rsidRPr="001347F8">
        <w:rPr>
          <w:sz w:val="26"/>
          <w:szCs w:val="26"/>
          <w:lang w:val="uk-UA"/>
        </w:rPr>
        <w:t>минулого року</w:t>
      </w:r>
      <w:r>
        <w:rPr>
          <w:sz w:val="26"/>
          <w:szCs w:val="26"/>
          <w:lang w:val="uk-UA"/>
        </w:rPr>
        <w:t>.</w:t>
      </w:r>
    </w:p>
    <w:p w:rsidR="00953609" w:rsidRDefault="00953609" w:rsidP="00953609">
      <w:pPr>
        <w:jc w:val="both"/>
        <w:rPr>
          <w:sz w:val="26"/>
          <w:szCs w:val="26"/>
          <w:lang w:val="uk-UA"/>
        </w:rPr>
      </w:pPr>
      <w:r w:rsidRPr="00B67AD2">
        <w:rPr>
          <w:sz w:val="26"/>
          <w:szCs w:val="26"/>
          <w:lang w:val="uk-UA"/>
        </w:rPr>
        <w:t xml:space="preserve">         З 2016 року Законом України  від 24.12.2015р. № 909-VIIІ "Про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році" змінена ставка податку на доходи фізичних осіб з 15 % на 18 % та скасовано утримання із заробітної плати єдиного соціального внеску, що вплинуло на збільшення надходжень ПДФО до бюджету міста. </w:t>
      </w:r>
    </w:p>
    <w:p w:rsidR="005F3BBD" w:rsidRPr="00B67AD2" w:rsidRDefault="005F3BBD" w:rsidP="00953609">
      <w:pPr>
        <w:jc w:val="both"/>
        <w:rPr>
          <w:sz w:val="26"/>
          <w:szCs w:val="26"/>
          <w:lang w:val="uk-UA"/>
        </w:rPr>
      </w:pPr>
    </w:p>
    <w:p w:rsidR="00A952F9" w:rsidRDefault="005F3BBD" w:rsidP="00332B2A">
      <w:pPr>
        <w:jc w:val="both"/>
        <w:rPr>
          <w:lang w:val="uk-UA"/>
        </w:rPr>
      </w:pPr>
      <w:r w:rsidRPr="005F3BBD">
        <w:rPr>
          <w:noProof/>
        </w:rPr>
        <w:drawing>
          <wp:inline distT="0" distB="0" distL="0" distR="0">
            <wp:extent cx="5905500" cy="32004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F3BBD" w:rsidRDefault="005F3BBD" w:rsidP="00332B2A">
      <w:pPr>
        <w:jc w:val="both"/>
        <w:rPr>
          <w:lang w:val="uk-UA"/>
        </w:rPr>
      </w:pPr>
    </w:p>
    <w:p w:rsidR="00953609" w:rsidRDefault="00953609" w:rsidP="0095360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B67AD2">
        <w:rPr>
          <w:b/>
          <w:sz w:val="26"/>
          <w:szCs w:val="26"/>
          <w:lang w:val="uk-UA"/>
        </w:rPr>
        <w:t>Місцевих податків і зборів</w:t>
      </w:r>
      <w:r>
        <w:rPr>
          <w:sz w:val="26"/>
          <w:szCs w:val="26"/>
          <w:lang w:val="uk-UA"/>
        </w:rPr>
        <w:t xml:space="preserve"> надійшло за звітний період </w:t>
      </w:r>
      <w:r w:rsidR="00363C76">
        <w:rPr>
          <w:sz w:val="26"/>
          <w:szCs w:val="26"/>
          <w:lang w:val="uk-UA"/>
        </w:rPr>
        <w:t>1</w:t>
      </w:r>
      <w:r w:rsidR="005F3BBD">
        <w:rPr>
          <w:sz w:val="26"/>
          <w:szCs w:val="26"/>
          <w:lang w:val="uk-UA"/>
        </w:rPr>
        <w:t>13 662,3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., або 1</w:t>
      </w:r>
      <w:r w:rsidR="000C7612">
        <w:rPr>
          <w:sz w:val="26"/>
          <w:szCs w:val="26"/>
          <w:lang w:val="uk-UA"/>
        </w:rPr>
        <w:t>0</w:t>
      </w:r>
      <w:r w:rsidR="005F3BBD">
        <w:rPr>
          <w:sz w:val="26"/>
          <w:szCs w:val="26"/>
          <w:lang w:val="uk-UA"/>
        </w:rPr>
        <w:t>3,8</w:t>
      </w:r>
      <w:r>
        <w:rPr>
          <w:sz w:val="26"/>
          <w:szCs w:val="26"/>
          <w:lang w:val="uk-UA"/>
        </w:rPr>
        <w:t xml:space="preserve"> % від плану </w:t>
      </w:r>
      <w:r w:rsidR="000C7612">
        <w:rPr>
          <w:sz w:val="26"/>
          <w:szCs w:val="26"/>
          <w:lang w:val="uk-UA"/>
        </w:rPr>
        <w:t xml:space="preserve">січня - </w:t>
      </w:r>
      <w:r w:rsidR="005F3BBD">
        <w:rPr>
          <w:sz w:val="26"/>
          <w:szCs w:val="26"/>
          <w:lang w:val="uk-UA"/>
        </w:rPr>
        <w:t>вересня</w:t>
      </w:r>
      <w:r w:rsidR="000C7612">
        <w:rPr>
          <w:sz w:val="26"/>
          <w:szCs w:val="26"/>
          <w:lang w:val="uk-UA"/>
        </w:rPr>
        <w:t xml:space="preserve"> поточного року </w:t>
      </w:r>
      <w:r>
        <w:rPr>
          <w:sz w:val="26"/>
          <w:szCs w:val="26"/>
          <w:lang w:val="uk-UA"/>
        </w:rPr>
        <w:t xml:space="preserve">та </w:t>
      </w:r>
      <w:r w:rsidR="00363C76">
        <w:rPr>
          <w:sz w:val="26"/>
          <w:szCs w:val="26"/>
          <w:lang w:val="uk-UA"/>
        </w:rPr>
        <w:t>7</w:t>
      </w:r>
      <w:r w:rsidR="005F3BBD">
        <w:rPr>
          <w:sz w:val="26"/>
          <w:szCs w:val="26"/>
          <w:lang w:val="uk-UA"/>
        </w:rPr>
        <w:t>7,0</w:t>
      </w:r>
      <w:r>
        <w:rPr>
          <w:sz w:val="26"/>
          <w:szCs w:val="26"/>
          <w:lang w:val="uk-UA"/>
        </w:rPr>
        <w:t xml:space="preserve"> % від річного плану, серед них :</w:t>
      </w:r>
    </w:p>
    <w:p w:rsidR="00953609" w:rsidRDefault="00953609" w:rsidP="00953609">
      <w:pPr>
        <w:jc w:val="both"/>
        <w:rPr>
          <w:sz w:val="26"/>
          <w:szCs w:val="26"/>
          <w:lang w:val="uk-UA"/>
        </w:rPr>
      </w:pPr>
    </w:p>
    <w:p w:rsidR="00953609" w:rsidRPr="00B67AD2" w:rsidRDefault="00953609" w:rsidP="00953609">
      <w:pPr>
        <w:pStyle w:val="a6"/>
        <w:numPr>
          <w:ilvl w:val="0"/>
          <w:numId w:val="8"/>
        </w:numPr>
        <w:ind w:left="0" w:firstLine="360"/>
        <w:jc w:val="both"/>
        <w:rPr>
          <w:rStyle w:val="rvts0"/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плати за землю</w:t>
      </w:r>
      <w:r w:rsidRPr="00B67AD2">
        <w:rPr>
          <w:sz w:val="26"/>
          <w:szCs w:val="26"/>
          <w:lang w:val="uk-UA"/>
        </w:rPr>
        <w:t xml:space="preserve"> надійшло </w:t>
      </w:r>
      <w:r w:rsidR="005F3BBD">
        <w:rPr>
          <w:sz w:val="26"/>
          <w:szCs w:val="26"/>
          <w:lang w:val="uk-UA"/>
        </w:rPr>
        <w:t>91 336,4</w:t>
      </w:r>
      <w:r w:rsidRPr="00B67AD2">
        <w:rPr>
          <w:sz w:val="26"/>
          <w:szCs w:val="26"/>
          <w:lang w:val="uk-UA"/>
        </w:rPr>
        <w:t xml:space="preserve"> тис. грн., що на </w:t>
      </w:r>
      <w:r w:rsidR="005F3BBD">
        <w:rPr>
          <w:sz w:val="26"/>
          <w:szCs w:val="26"/>
          <w:lang w:val="uk-UA"/>
        </w:rPr>
        <w:t>30 121,4</w:t>
      </w:r>
      <w:r w:rsidRPr="00B67AD2">
        <w:rPr>
          <w:sz w:val="26"/>
          <w:szCs w:val="26"/>
          <w:lang w:val="uk-UA"/>
        </w:rPr>
        <w:t xml:space="preserve"> тис. грн.</w:t>
      </w:r>
      <w:r w:rsidR="00363C76">
        <w:rPr>
          <w:sz w:val="26"/>
          <w:szCs w:val="26"/>
          <w:lang w:val="uk-UA"/>
        </w:rPr>
        <w:t>, або на 4</w:t>
      </w:r>
      <w:r w:rsidR="005F3BBD">
        <w:rPr>
          <w:sz w:val="26"/>
          <w:szCs w:val="26"/>
          <w:lang w:val="uk-UA"/>
        </w:rPr>
        <w:t>9,2</w:t>
      </w:r>
      <w:r w:rsidR="00363C76">
        <w:rPr>
          <w:sz w:val="26"/>
          <w:szCs w:val="26"/>
          <w:lang w:val="uk-UA"/>
        </w:rPr>
        <w:t xml:space="preserve"> %</w:t>
      </w:r>
      <w:r w:rsidRPr="00B67AD2">
        <w:rPr>
          <w:sz w:val="26"/>
          <w:szCs w:val="26"/>
          <w:lang w:val="uk-UA"/>
        </w:rPr>
        <w:t xml:space="preserve"> більше надходжень за відповідний період минулого року. На збільшення надходжень вплинув </w:t>
      </w:r>
      <w:r w:rsidRPr="00B67AD2">
        <w:rPr>
          <w:rStyle w:val="rvts0"/>
          <w:sz w:val="26"/>
          <w:szCs w:val="26"/>
          <w:lang w:val="uk-UA"/>
        </w:rPr>
        <w:t>коефіцієнт індексації нормативної грошової оцінки земель за 2015 рік</w:t>
      </w:r>
      <w:r>
        <w:rPr>
          <w:rStyle w:val="rvts0"/>
          <w:sz w:val="26"/>
          <w:szCs w:val="26"/>
          <w:lang w:val="uk-UA"/>
        </w:rPr>
        <w:t>, який склав</w:t>
      </w:r>
      <w:r w:rsidRPr="00B67AD2">
        <w:rPr>
          <w:rStyle w:val="rvts0"/>
          <w:sz w:val="26"/>
          <w:szCs w:val="26"/>
          <w:lang w:val="uk-UA"/>
        </w:rPr>
        <w:t xml:space="preserve"> 1,443</w:t>
      </w:r>
      <w:r>
        <w:rPr>
          <w:rStyle w:val="rvts0"/>
          <w:sz w:val="26"/>
          <w:szCs w:val="26"/>
          <w:lang w:val="uk-UA"/>
        </w:rPr>
        <w:t>.</w:t>
      </w:r>
    </w:p>
    <w:p w:rsidR="006B463C" w:rsidRDefault="006B463C" w:rsidP="00C71180">
      <w:pPr>
        <w:jc w:val="both"/>
        <w:rPr>
          <w:sz w:val="26"/>
          <w:szCs w:val="26"/>
          <w:lang w:val="uk-UA"/>
        </w:rPr>
      </w:pPr>
    </w:p>
    <w:p w:rsidR="00C71180" w:rsidRPr="00B67AD2" w:rsidRDefault="00C71180" w:rsidP="00C71180">
      <w:pPr>
        <w:jc w:val="both"/>
        <w:rPr>
          <w:sz w:val="26"/>
          <w:szCs w:val="26"/>
          <w:lang w:val="uk-UA"/>
        </w:rPr>
      </w:pPr>
      <w:r w:rsidRPr="00B67AD2">
        <w:rPr>
          <w:sz w:val="26"/>
          <w:szCs w:val="26"/>
          <w:lang w:val="uk-UA"/>
        </w:rPr>
        <w:t xml:space="preserve">        </w:t>
      </w:r>
    </w:p>
    <w:p w:rsidR="00C71180" w:rsidRDefault="005F3BBD" w:rsidP="00332B2A">
      <w:pPr>
        <w:jc w:val="both"/>
        <w:rPr>
          <w:lang w:val="uk-UA"/>
        </w:rPr>
      </w:pPr>
      <w:r w:rsidRPr="005F3BBD">
        <w:rPr>
          <w:noProof/>
        </w:rPr>
        <w:lastRenderedPageBreak/>
        <w:drawing>
          <wp:inline distT="0" distB="0" distL="0" distR="0">
            <wp:extent cx="5924550" cy="2828925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A095B" w:rsidRPr="008A095B" w:rsidRDefault="008A095B" w:rsidP="008A095B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C71180" w:rsidRPr="00B67AD2" w:rsidRDefault="00C71180" w:rsidP="00C71180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податку на нерухоме майно, відмінне від земельної ділянки</w:t>
      </w:r>
      <w:r>
        <w:rPr>
          <w:sz w:val="26"/>
          <w:szCs w:val="26"/>
          <w:lang w:val="uk-UA"/>
        </w:rPr>
        <w:t xml:space="preserve"> надійшло до бюджету міста в обсязі </w:t>
      </w:r>
      <w:r w:rsidR="008A095B">
        <w:rPr>
          <w:sz w:val="26"/>
          <w:szCs w:val="26"/>
          <w:lang w:val="uk-UA"/>
        </w:rPr>
        <w:t>3 082,4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що на </w:t>
      </w:r>
      <w:r w:rsidR="00F84112">
        <w:rPr>
          <w:sz w:val="26"/>
          <w:szCs w:val="26"/>
          <w:lang w:val="uk-UA"/>
        </w:rPr>
        <w:t xml:space="preserve">1 </w:t>
      </w:r>
      <w:r w:rsidR="008A095B">
        <w:rPr>
          <w:sz w:val="26"/>
          <w:szCs w:val="26"/>
          <w:lang w:val="uk-UA"/>
        </w:rPr>
        <w:t>282,5</w:t>
      </w:r>
      <w:r w:rsidR="00F84112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більше надходжень аналогічного періоду минулого року за рахунок терміну сплати податку                  за 4 квартал 2015 року до 30 січня 2016 року. </w:t>
      </w:r>
      <w:r w:rsidR="006B463C">
        <w:rPr>
          <w:sz w:val="26"/>
          <w:szCs w:val="26"/>
          <w:lang w:val="uk-UA"/>
        </w:rPr>
        <w:t xml:space="preserve">Протягом січня - </w:t>
      </w:r>
      <w:r w:rsidR="008A095B">
        <w:rPr>
          <w:sz w:val="26"/>
          <w:szCs w:val="26"/>
          <w:lang w:val="uk-UA"/>
        </w:rPr>
        <w:t>вересня</w:t>
      </w:r>
      <w:r w:rsidR="006B463C">
        <w:rPr>
          <w:sz w:val="26"/>
          <w:szCs w:val="26"/>
          <w:lang w:val="uk-UA"/>
        </w:rPr>
        <w:t xml:space="preserve"> сплатили </w:t>
      </w:r>
      <w:r>
        <w:rPr>
          <w:sz w:val="26"/>
          <w:szCs w:val="26"/>
          <w:lang w:val="uk-UA"/>
        </w:rPr>
        <w:t xml:space="preserve">податок на нерухоме майно, відмінне від земельної ділянки, </w:t>
      </w:r>
      <w:r w:rsidR="008A095B">
        <w:rPr>
          <w:sz w:val="26"/>
          <w:szCs w:val="26"/>
          <w:lang w:val="uk-UA"/>
        </w:rPr>
        <w:t>724</w:t>
      </w:r>
      <w:r>
        <w:rPr>
          <w:sz w:val="26"/>
          <w:szCs w:val="26"/>
          <w:lang w:val="uk-UA"/>
        </w:rPr>
        <w:t xml:space="preserve"> </w:t>
      </w:r>
      <w:r w:rsidR="00F84112">
        <w:rPr>
          <w:sz w:val="26"/>
          <w:szCs w:val="26"/>
          <w:lang w:val="uk-UA"/>
        </w:rPr>
        <w:t>власник</w:t>
      </w:r>
      <w:r w:rsidR="008A095B">
        <w:rPr>
          <w:sz w:val="26"/>
          <w:szCs w:val="26"/>
          <w:lang w:val="uk-UA"/>
        </w:rPr>
        <w:t>а</w:t>
      </w:r>
      <w:r w:rsidR="00F84112">
        <w:rPr>
          <w:sz w:val="26"/>
          <w:szCs w:val="26"/>
          <w:lang w:val="uk-UA"/>
        </w:rPr>
        <w:t xml:space="preserve"> </w:t>
      </w:r>
      <w:r w:rsidR="008A095B">
        <w:rPr>
          <w:sz w:val="26"/>
          <w:szCs w:val="26"/>
          <w:lang w:val="uk-UA"/>
        </w:rPr>
        <w:t>об</w:t>
      </w:r>
      <w:r w:rsidR="00F84112">
        <w:rPr>
          <w:sz w:val="26"/>
          <w:szCs w:val="26"/>
          <w:lang w:val="uk-UA"/>
        </w:rPr>
        <w:t>`єктів нерухомості</w:t>
      </w:r>
      <w:r>
        <w:rPr>
          <w:sz w:val="26"/>
          <w:szCs w:val="26"/>
          <w:lang w:val="uk-UA"/>
        </w:rPr>
        <w:t xml:space="preserve">, в тому числі </w:t>
      </w:r>
      <w:r w:rsidR="00F84112">
        <w:rPr>
          <w:sz w:val="26"/>
          <w:szCs w:val="26"/>
          <w:lang w:val="uk-UA"/>
        </w:rPr>
        <w:t>220</w:t>
      </w:r>
      <w:r>
        <w:rPr>
          <w:sz w:val="26"/>
          <w:szCs w:val="26"/>
          <w:lang w:val="uk-UA"/>
        </w:rPr>
        <w:t xml:space="preserve"> юридичних та </w:t>
      </w:r>
      <w:r w:rsidR="008A095B">
        <w:rPr>
          <w:sz w:val="26"/>
          <w:szCs w:val="26"/>
          <w:lang w:val="uk-UA"/>
        </w:rPr>
        <w:t>504</w:t>
      </w:r>
      <w:r>
        <w:rPr>
          <w:sz w:val="26"/>
          <w:szCs w:val="26"/>
          <w:lang w:val="uk-UA"/>
        </w:rPr>
        <w:t xml:space="preserve"> фізичних ос</w:t>
      </w:r>
      <w:r w:rsidR="008A095B">
        <w:rPr>
          <w:sz w:val="26"/>
          <w:szCs w:val="26"/>
          <w:lang w:val="uk-UA"/>
        </w:rPr>
        <w:t>оби</w:t>
      </w:r>
      <w:r>
        <w:rPr>
          <w:sz w:val="26"/>
          <w:szCs w:val="26"/>
          <w:lang w:val="uk-UA"/>
        </w:rPr>
        <w:t>;</w:t>
      </w:r>
      <w:r w:rsidRPr="00B67AD2">
        <w:rPr>
          <w:sz w:val="26"/>
          <w:szCs w:val="26"/>
          <w:lang w:val="uk-UA"/>
        </w:rPr>
        <w:t xml:space="preserve"> </w:t>
      </w:r>
    </w:p>
    <w:p w:rsidR="00C71180" w:rsidRDefault="00C71180" w:rsidP="00C71180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транспортного податку</w:t>
      </w:r>
      <w:r>
        <w:rPr>
          <w:sz w:val="26"/>
          <w:szCs w:val="26"/>
          <w:lang w:val="uk-UA"/>
        </w:rPr>
        <w:t xml:space="preserve"> надійшло </w:t>
      </w:r>
      <w:r w:rsidR="008A095B">
        <w:rPr>
          <w:sz w:val="26"/>
          <w:szCs w:val="26"/>
          <w:lang w:val="uk-UA"/>
        </w:rPr>
        <w:t>422,9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від 9 юридичних осіб</w:t>
      </w:r>
      <w:r w:rsidR="006B463C">
        <w:rPr>
          <w:sz w:val="26"/>
          <w:szCs w:val="26"/>
          <w:lang w:val="uk-UA"/>
        </w:rPr>
        <w:t xml:space="preserve"> та </w:t>
      </w:r>
      <w:r w:rsidR="008A095B">
        <w:rPr>
          <w:sz w:val="26"/>
          <w:szCs w:val="26"/>
          <w:lang w:val="uk-UA"/>
        </w:rPr>
        <w:t>8</w:t>
      </w:r>
      <w:r w:rsidR="006B463C">
        <w:rPr>
          <w:sz w:val="26"/>
          <w:szCs w:val="26"/>
          <w:lang w:val="uk-UA"/>
        </w:rPr>
        <w:t xml:space="preserve"> фізичн</w:t>
      </w:r>
      <w:r w:rsidR="00F84112">
        <w:rPr>
          <w:sz w:val="26"/>
          <w:szCs w:val="26"/>
          <w:lang w:val="uk-UA"/>
        </w:rPr>
        <w:t>их</w:t>
      </w:r>
      <w:r w:rsidR="006B463C">
        <w:rPr>
          <w:sz w:val="26"/>
          <w:szCs w:val="26"/>
          <w:lang w:val="uk-UA"/>
        </w:rPr>
        <w:t xml:space="preserve"> ос</w:t>
      </w:r>
      <w:r w:rsidR="00F84112">
        <w:rPr>
          <w:sz w:val="26"/>
          <w:szCs w:val="26"/>
          <w:lang w:val="uk-UA"/>
        </w:rPr>
        <w:t>і</w:t>
      </w:r>
      <w:r w:rsidR="006B463C">
        <w:rPr>
          <w:sz w:val="26"/>
          <w:szCs w:val="26"/>
          <w:lang w:val="uk-UA"/>
        </w:rPr>
        <w:t>б</w:t>
      </w:r>
      <w:r>
        <w:rPr>
          <w:sz w:val="26"/>
          <w:szCs w:val="26"/>
          <w:lang w:val="uk-UA"/>
        </w:rPr>
        <w:t xml:space="preserve">. В порівнянні до відповідного періоду 2015 року надходження зменшились на </w:t>
      </w:r>
      <w:r w:rsidR="008A095B">
        <w:rPr>
          <w:sz w:val="26"/>
          <w:szCs w:val="26"/>
          <w:lang w:val="uk-UA"/>
        </w:rPr>
        <w:t>791,6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або на </w:t>
      </w:r>
      <w:r w:rsidR="00F84112">
        <w:rPr>
          <w:sz w:val="26"/>
          <w:szCs w:val="26"/>
          <w:lang w:val="uk-UA"/>
        </w:rPr>
        <w:t>6</w:t>
      </w:r>
      <w:r w:rsidR="008A095B">
        <w:rPr>
          <w:sz w:val="26"/>
          <w:szCs w:val="26"/>
          <w:lang w:val="uk-UA"/>
        </w:rPr>
        <w:t>5,2</w:t>
      </w:r>
      <w:r>
        <w:rPr>
          <w:sz w:val="26"/>
          <w:szCs w:val="26"/>
          <w:lang w:val="uk-UA"/>
        </w:rPr>
        <w:t xml:space="preserve"> %. Основною причиною зменшення надходжень є суттєві зміни щодо бази оподаткування транспортним податком;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B74F81" w:rsidRDefault="00C71180" w:rsidP="00C71180">
      <w:pPr>
        <w:pStyle w:val="a6"/>
        <w:numPr>
          <w:ilvl w:val="0"/>
          <w:numId w:val="9"/>
        </w:numPr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є</w:t>
      </w:r>
      <w:r w:rsidRPr="00B74F81">
        <w:rPr>
          <w:b/>
          <w:sz w:val="26"/>
          <w:szCs w:val="26"/>
          <w:lang w:val="uk-UA"/>
        </w:rPr>
        <w:t>диного податку</w:t>
      </w:r>
      <w:r w:rsidRPr="00B74F81">
        <w:rPr>
          <w:sz w:val="26"/>
          <w:szCs w:val="26"/>
          <w:lang w:val="uk-UA"/>
        </w:rPr>
        <w:t xml:space="preserve"> надійшло </w:t>
      </w:r>
      <w:r w:rsidR="008A095B">
        <w:rPr>
          <w:sz w:val="26"/>
          <w:szCs w:val="26"/>
          <w:lang w:val="uk-UA"/>
        </w:rPr>
        <w:t>18 791,9</w:t>
      </w:r>
      <w:r w:rsidRPr="00B74F81">
        <w:rPr>
          <w:sz w:val="26"/>
          <w:szCs w:val="26"/>
          <w:lang w:val="uk-UA"/>
        </w:rPr>
        <w:t xml:space="preserve"> </w:t>
      </w:r>
      <w:proofErr w:type="spellStart"/>
      <w:r w:rsidRPr="00B74F81">
        <w:rPr>
          <w:sz w:val="26"/>
          <w:szCs w:val="26"/>
          <w:lang w:val="uk-UA"/>
        </w:rPr>
        <w:t>тис.грн</w:t>
      </w:r>
      <w:proofErr w:type="spellEnd"/>
      <w:r w:rsidRPr="00B74F81">
        <w:rPr>
          <w:sz w:val="26"/>
          <w:szCs w:val="26"/>
          <w:lang w:val="uk-UA"/>
        </w:rPr>
        <w:t xml:space="preserve">., що на </w:t>
      </w:r>
      <w:r w:rsidR="00F84112">
        <w:rPr>
          <w:sz w:val="26"/>
          <w:szCs w:val="26"/>
          <w:lang w:val="uk-UA"/>
        </w:rPr>
        <w:t xml:space="preserve">5 </w:t>
      </w:r>
      <w:r w:rsidR="008A095B">
        <w:rPr>
          <w:sz w:val="26"/>
          <w:szCs w:val="26"/>
          <w:lang w:val="uk-UA"/>
        </w:rPr>
        <w:t>548,3</w:t>
      </w:r>
      <w:r w:rsidRPr="00B74F81">
        <w:rPr>
          <w:sz w:val="26"/>
          <w:szCs w:val="26"/>
          <w:lang w:val="uk-UA"/>
        </w:rPr>
        <w:t xml:space="preserve"> </w:t>
      </w:r>
      <w:proofErr w:type="spellStart"/>
      <w:r w:rsidRPr="00B74F81">
        <w:rPr>
          <w:sz w:val="26"/>
          <w:szCs w:val="26"/>
          <w:lang w:val="uk-UA"/>
        </w:rPr>
        <w:t>тис.грн</w:t>
      </w:r>
      <w:proofErr w:type="spellEnd"/>
      <w:r w:rsidRPr="00B74F81">
        <w:rPr>
          <w:sz w:val="26"/>
          <w:szCs w:val="26"/>
          <w:lang w:val="uk-UA"/>
        </w:rPr>
        <w:t>. більше надходжень аналогічного періоду минулого року. Планові показники</w:t>
      </w:r>
      <w:r>
        <w:rPr>
          <w:sz w:val="26"/>
          <w:szCs w:val="26"/>
          <w:lang w:val="uk-UA"/>
        </w:rPr>
        <w:t xml:space="preserve"> </w:t>
      </w:r>
      <w:r w:rsidR="006B463C">
        <w:rPr>
          <w:sz w:val="26"/>
          <w:szCs w:val="26"/>
          <w:lang w:val="uk-UA"/>
        </w:rPr>
        <w:t xml:space="preserve">січня - </w:t>
      </w:r>
      <w:r w:rsidR="008A095B">
        <w:rPr>
          <w:sz w:val="26"/>
          <w:szCs w:val="26"/>
          <w:lang w:val="uk-UA"/>
        </w:rPr>
        <w:t>вересня</w:t>
      </w:r>
      <w:r w:rsidR="006B463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виконані на </w:t>
      </w:r>
      <w:r w:rsidR="008A095B">
        <w:rPr>
          <w:sz w:val="26"/>
          <w:szCs w:val="26"/>
          <w:lang w:val="uk-UA"/>
        </w:rPr>
        <w:t>107,8</w:t>
      </w:r>
      <w:r>
        <w:rPr>
          <w:sz w:val="26"/>
          <w:szCs w:val="26"/>
          <w:lang w:val="uk-UA"/>
        </w:rPr>
        <w:t xml:space="preserve"> %;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B74F81" w:rsidRDefault="00C71180" w:rsidP="00C71180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74F81">
        <w:rPr>
          <w:b/>
          <w:sz w:val="26"/>
          <w:szCs w:val="26"/>
          <w:lang w:val="uk-UA"/>
        </w:rPr>
        <w:t>туристичного збору</w:t>
      </w:r>
      <w:r>
        <w:rPr>
          <w:sz w:val="26"/>
          <w:szCs w:val="26"/>
          <w:lang w:val="uk-UA"/>
        </w:rPr>
        <w:t xml:space="preserve"> за </w:t>
      </w:r>
      <w:r w:rsidR="006B463C">
        <w:rPr>
          <w:sz w:val="26"/>
          <w:szCs w:val="26"/>
          <w:lang w:val="uk-UA"/>
        </w:rPr>
        <w:t xml:space="preserve">звітний період </w:t>
      </w:r>
      <w:r>
        <w:rPr>
          <w:sz w:val="26"/>
          <w:szCs w:val="26"/>
          <w:lang w:val="uk-UA"/>
        </w:rPr>
        <w:t xml:space="preserve">надійшло </w:t>
      </w:r>
      <w:r w:rsidR="00F84112">
        <w:rPr>
          <w:sz w:val="26"/>
          <w:szCs w:val="26"/>
          <w:lang w:val="uk-UA"/>
        </w:rPr>
        <w:t>5</w:t>
      </w:r>
      <w:r w:rsidR="008A095B">
        <w:rPr>
          <w:sz w:val="26"/>
          <w:szCs w:val="26"/>
          <w:lang w:val="uk-UA"/>
        </w:rPr>
        <w:t>1,8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що </w:t>
      </w:r>
      <w:r w:rsidR="006B463C">
        <w:rPr>
          <w:sz w:val="26"/>
          <w:szCs w:val="26"/>
          <w:lang w:val="uk-UA"/>
        </w:rPr>
        <w:t xml:space="preserve">                               </w:t>
      </w:r>
      <w:r w:rsidR="00F84112">
        <w:rPr>
          <w:sz w:val="26"/>
          <w:szCs w:val="26"/>
          <w:lang w:val="uk-UA"/>
        </w:rPr>
        <w:t xml:space="preserve">в 2 рази </w:t>
      </w:r>
      <w:r>
        <w:rPr>
          <w:sz w:val="26"/>
          <w:szCs w:val="26"/>
          <w:lang w:val="uk-UA"/>
        </w:rPr>
        <w:t xml:space="preserve">більше надходжень </w:t>
      </w:r>
      <w:r w:rsidR="006B463C">
        <w:rPr>
          <w:sz w:val="26"/>
          <w:szCs w:val="26"/>
          <w:lang w:val="uk-UA"/>
        </w:rPr>
        <w:t xml:space="preserve">січня - </w:t>
      </w:r>
      <w:r w:rsidR="008A095B">
        <w:rPr>
          <w:sz w:val="26"/>
          <w:szCs w:val="26"/>
          <w:lang w:val="uk-UA"/>
        </w:rPr>
        <w:t>вересня</w:t>
      </w:r>
      <w:r>
        <w:rPr>
          <w:sz w:val="26"/>
          <w:szCs w:val="26"/>
          <w:lang w:val="uk-UA"/>
        </w:rPr>
        <w:t xml:space="preserve"> минулого року.</w:t>
      </w:r>
    </w:p>
    <w:p w:rsidR="00982A8C" w:rsidRDefault="00982A8C" w:rsidP="00332B2A">
      <w:pPr>
        <w:jc w:val="both"/>
        <w:rPr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В </w:t>
      </w:r>
      <w:r w:rsidRPr="001347F8">
        <w:rPr>
          <w:sz w:val="26"/>
          <w:szCs w:val="26"/>
          <w:lang w:val="uk-UA"/>
        </w:rPr>
        <w:t>2015 році відповідно до Закону України від 28.12.2014 року № 71-</w:t>
      </w:r>
      <w:r w:rsidRPr="001347F8">
        <w:rPr>
          <w:sz w:val="26"/>
          <w:szCs w:val="26"/>
          <w:lang w:val="en-US"/>
        </w:rPr>
        <w:t>VIII</w:t>
      </w:r>
      <w:r w:rsidRPr="001347F8">
        <w:rPr>
          <w:sz w:val="26"/>
          <w:szCs w:val="26"/>
          <w:lang w:val="uk-UA"/>
        </w:rPr>
        <w:t xml:space="preserve"> "Про внесення змін до Податкового кодексу України та деяких законодавчих актів України щодо податкової реформи" запроваджено новий вид податку - </w:t>
      </w:r>
      <w:r w:rsidRPr="00B74F81">
        <w:rPr>
          <w:b/>
          <w:sz w:val="26"/>
          <w:szCs w:val="26"/>
          <w:lang w:val="uk-UA"/>
        </w:rPr>
        <w:t>акцизний податок</w:t>
      </w:r>
      <w:r w:rsidRPr="001347F8">
        <w:rPr>
          <w:sz w:val="26"/>
          <w:szCs w:val="26"/>
          <w:lang w:val="uk-UA"/>
        </w:rPr>
        <w:t xml:space="preserve"> з реалізованих підакцизних товарів суб`єктами господарювання роздрібної торгівлі</w:t>
      </w:r>
      <w:r>
        <w:rPr>
          <w:sz w:val="26"/>
          <w:szCs w:val="26"/>
          <w:lang w:val="uk-UA"/>
        </w:rPr>
        <w:t xml:space="preserve">. За </w:t>
      </w:r>
      <w:r w:rsidR="006B463C">
        <w:rPr>
          <w:sz w:val="26"/>
          <w:szCs w:val="26"/>
          <w:lang w:val="uk-UA"/>
        </w:rPr>
        <w:t xml:space="preserve">січень - </w:t>
      </w:r>
      <w:r w:rsidR="008A095B">
        <w:rPr>
          <w:sz w:val="26"/>
          <w:szCs w:val="26"/>
          <w:lang w:val="uk-UA"/>
        </w:rPr>
        <w:t>вересень</w:t>
      </w:r>
      <w:r w:rsidR="006B463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2016 року до бюджету міста надійшло акцизного податку в сумі </w:t>
      </w:r>
      <w:r w:rsidR="00F84112">
        <w:rPr>
          <w:sz w:val="26"/>
          <w:szCs w:val="26"/>
          <w:lang w:val="uk-UA"/>
        </w:rPr>
        <w:t>1</w:t>
      </w:r>
      <w:r w:rsidR="008A095B">
        <w:rPr>
          <w:sz w:val="26"/>
          <w:szCs w:val="26"/>
          <w:lang w:val="uk-UA"/>
        </w:rPr>
        <w:t>6 780,0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що на </w:t>
      </w:r>
      <w:r w:rsidR="008A095B">
        <w:rPr>
          <w:sz w:val="26"/>
          <w:szCs w:val="26"/>
          <w:lang w:val="uk-UA"/>
        </w:rPr>
        <w:t>5 762,1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більше надходжень аналогічного періоду минулого року, темп росту - 1</w:t>
      </w:r>
      <w:r w:rsidR="006B463C">
        <w:rPr>
          <w:sz w:val="26"/>
          <w:szCs w:val="26"/>
          <w:lang w:val="uk-UA"/>
        </w:rPr>
        <w:t>5</w:t>
      </w:r>
      <w:r w:rsidR="008A095B">
        <w:rPr>
          <w:sz w:val="26"/>
          <w:szCs w:val="26"/>
          <w:lang w:val="uk-UA"/>
        </w:rPr>
        <w:t>2,3</w:t>
      </w:r>
      <w:r>
        <w:rPr>
          <w:sz w:val="26"/>
          <w:szCs w:val="26"/>
          <w:lang w:val="uk-UA"/>
        </w:rPr>
        <w:t xml:space="preserve"> %. 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9E3C99">
        <w:rPr>
          <w:sz w:val="26"/>
          <w:szCs w:val="26"/>
          <w:lang w:val="uk-UA"/>
        </w:rPr>
        <w:t xml:space="preserve">       </w:t>
      </w:r>
      <w:r w:rsidRPr="009E3C99">
        <w:rPr>
          <w:b/>
          <w:sz w:val="26"/>
          <w:szCs w:val="26"/>
          <w:lang w:val="uk-UA"/>
        </w:rPr>
        <w:t>Акцизний податок</w:t>
      </w:r>
      <w:r w:rsidRPr="009E3C99">
        <w:rPr>
          <w:sz w:val="26"/>
          <w:szCs w:val="26"/>
          <w:lang w:val="uk-UA"/>
        </w:rPr>
        <w:t xml:space="preserve"> сплатили </w:t>
      </w:r>
      <w:r w:rsidR="008A095B">
        <w:rPr>
          <w:sz w:val="26"/>
          <w:szCs w:val="26"/>
          <w:lang w:val="uk-UA"/>
        </w:rPr>
        <w:t>180</w:t>
      </w:r>
      <w:r w:rsidRPr="009E3C99">
        <w:rPr>
          <w:sz w:val="26"/>
          <w:szCs w:val="26"/>
          <w:lang w:val="uk-UA"/>
        </w:rPr>
        <w:t xml:space="preserve"> суб`єк</w:t>
      </w:r>
      <w:r>
        <w:rPr>
          <w:sz w:val="26"/>
          <w:szCs w:val="26"/>
          <w:lang w:val="uk-UA"/>
        </w:rPr>
        <w:t>т</w:t>
      </w:r>
      <w:r w:rsidR="0005341C">
        <w:rPr>
          <w:sz w:val="26"/>
          <w:szCs w:val="26"/>
          <w:lang w:val="uk-UA"/>
        </w:rPr>
        <w:t>ів</w:t>
      </w:r>
      <w:r w:rsidRPr="009E3C99">
        <w:rPr>
          <w:sz w:val="26"/>
          <w:szCs w:val="26"/>
          <w:lang w:val="uk-UA"/>
        </w:rPr>
        <w:t xml:space="preserve"> господарювання в загальній сумі                                  </w:t>
      </w:r>
      <w:r w:rsidR="008A095B">
        <w:rPr>
          <w:sz w:val="26"/>
          <w:szCs w:val="26"/>
          <w:lang w:val="uk-UA"/>
        </w:rPr>
        <w:t>16 780,0</w:t>
      </w:r>
      <w:r w:rsidRPr="009E3C99">
        <w:rPr>
          <w:sz w:val="26"/>
          <w:szCs w:val="26"/>
          <w:lang w:val="uk-UA"/>
        </w:rPr>
        <w:t xml:space="preserve"> </w:t>
      </w:r>
      <w:proofErr w:type="spellStart"/>
      <w:r w:rsidRPr="009E3C99">
        <w:rPr>
          <w:sz w:val="26"/>
          <w:szCs w:val="26"/>
          <w:lang w:val="uk-UA"/>
        </w:rPr>
        <w:t>тис.грн</w:t>
      </w:r>
      <w:proofErr w:type="spellEnd"/>
      <w:r w:rsidRPr="009E3C99">
        <w:rPr>
          <w:sz w:val="26"/>
          <w:szCs w:val="26"/>
          <w:lang w:val="uk-UA"/>
        </w:rPr>
        <w:t>.</w:t>
      </w:r>
    </w:p>
    <w:p w:rsidR="008A095B" w:rsidRPr="009E3C99" w:rsidRDefault="008A095B" w:rsidP="00C71180">
      <w:pPr>
        <w:jc w:val="both"/>
        <w:rPr>
          <w:sz w:val="26"/>
          <w:szCs w:val="26"/>
          <w:lang w:val="uk-UA"/>
        </w:rPr>
      </w:pPr>
    </w:p>
    <w:p w:rsidR="00C71180" w:rsidRPr="009E3C99" w:rsidRDefault="00C71180" w:rsidP="00C71180">
      <w:pPr>
        <w:jc w:val="both"/>
        <w:rPr>
          <w:sz w:val="26"/>
          <w:szCs w:val="26"/>
          <w:lang w:val="uk-UA"/>
        </w:rPr>
      </w:pPr>
      <w:r w:rsidRPr="009E3C99">
        <w:rPr>
          <w:noProof/>
          <w:sz w:val="26"/>
          <w:szCs w:val="26"/>
        </w:rPr>
        <w:drawing>
          <wp:inline distT="0" distB="0" distL="0" distR="0">
            <wp:extent cx="5486400" cy="1076325"/>
            <wp:effectExtent l="38100" t="0" r="38100" b="0"/>
            <wp:docPr id="7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8D0C03" w:rsidRDefault="008D0C03" w:rsidP="00A57B7B">
      <w:pPr>
        <w:jc w:val="both"/>
        <w:rPr>
          <w:lang w:val="uk-UA"/>
        </w:rPr>
      </w:pPr>
    </w:p>
    <w:p w:rsidR="00342696" w:rsidRDefault="00342696" w:rsidP="00C71180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     За кодом бюджетної класифікації доходів 24060300 "Інші доходи" </w:t>
      </w:r>
      <w:r>
        <w:rPr>
          <w:sz w:val="26"/>
          <w:szCs w:val="26"/>
          <w:lang w:val="uk-UA"/>
        </w:rPr>
        <w:t xml:space="preserve">надійшло до бюджету міста за звітний період </w:t>
      </w:r>
      <w:r w:rsidR="00917661">
        <w:rPr>
          <w:sz w:val="26"/>
          <w:szCs w:val="26"/>
          <w:lang w:val="uk-UA"/>
        </w:rPr>
        <w:t xml:space="preserve">2 </w:t>
      </w:r>
      <w:r w:rsidR="00EE61B3">
        <w:rPr>
          <w:sz w:val="26"/>
          <w:szCs w:val="26"/>
          <w:lang w:val="uk-UA"/>
        </w:rPr>
        <w:t>390,9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., в тому числі :</w:t>
      </w:r>
    </w:p>
    <w:p w:rsidR="00342696" w:rsidRDefault="00342696" w:rsidP="00342696">
      <w:pPr>
        <w:tabs>
          <w:tab w:val="left" w:pos="284"/>
        </w:tabs>
        <w:jc w:val="both"/>
        <w:rPr>
          <w:sz w:val="26"/>
          <w:szCs w:val="26"/>
          <w:lang w:val="uk-UA"/>
        </w:rPr>
      </w:pPr>
      <w:r w:rsidRPr="00342696">
        <w:rPr>
          <w:sz w:val="26"/>
          <w:szCs w:val="26"/>
          <w:lang w:val="uk-UA"/>
        </w:rPr>
        <w:t>- відсотки за залишками вільних коштів бюджету розвитку на</w:t>
      </w:r>
      <w:r>
        <w:rPr>
          <w:sz w:val="26"/>
          <w:szCs w:val="26"/>
          <w:lang w:val="uk-UA"/>
        </w:rPr>
        <w:t xml:space="preserve"> </w:t>
      </w:r>
      <w:r w:rsidRPr="00342696">
        <w:rPr>
          <w:sz w:val="26"/>
          <w:szCs w:val="26"/>
          <w:lang w:val="uk-UA"/>
        </w:rPr>
        <w:t>рахунках, відкритих в ПАТ "Державний ощадний банк України"</w:t>
      </w:r>
      <w:r>
        <w:rPr>
          <w:sz w:val="26"/>
          <w:szCs w:val="26"/>
          <w:lang w:val="uk-UA"/>
        </w:rPr>
        <w:t xml:space="preserve"> - </w:t>
      </w:r>
      <w:r w:rsidR="00EE61B3">
        <w:rPr>
          <w:sz w:val="26"/>
          <w:szCs w:val="26"/>
          <w:lang w:val="uk-UA"/>
        </w:rPr>
        <w:t>894,7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342696" w:rsidRPr="00B67AD2" w:rsidRDefault="00342696" w:rsidP="0034269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B67AD2">
        <w:rPr>
          <w:sz w:val="26"/>
          <w:szCs w:val="26"/>
          <w:lang w:val="uk-UA"/>
        </w:rPr>
        <w:t>відшкодування збитків власникам землі та землекористувачам і впорядкування плати за користування земельними ділянками до укладання договорів оренди землі</w:t>
      </w:r>
      <w:r>
        <w:rPr>
          <w:sz w:val="26"/>
          <w:szCs w:val="26"/>
          <w:lang w:val="uk-UA"/>
        </w:rPr>
        <w:t xml:space="preserve"> </w:t>
      </w:r>
      <w:r w:rsidR="00917661">
        <w:rPr>
          <w:sz w:val="26"/>
          <w:szCs w:val="26"/>
          <w:lang w:val="uk-UA"/>
        </w:rPr>
        <w:t xml:space="preserve">за рішеннями суду </w:t>
      </w:r>
      <w:r>
        <w:rPr>
          <w:sz w:val="26"/>
          <w:szCs w:val="26"/>
          <w:lang w:val="uk-UA"/>
        </w:rPr>
        <w:t xml:space="preserve">- </w:t>
      </w:r>
      <w:r w:rsidR="00EE61B3">
        <w:rPr>
          <w:sz w:val="26"/>
          <w:szCs w:val="26"/>
          <w:lang w:val="uk-UA"/>
        </w:rPr>
        <w:t>846,5</w:t>
      </w:r>
      <w:r w:rsidRPr="00852545">
        <w:rPr>
          <w:sz w:val="26"/>
          <w:szCs w:val="26"/>
          <w:lang w:val="uk-UA"/>
        </w:rPr>
        <w:t xml:space="preserve"> </w:t>
      </w:r>
      <w:proofErr w:type="spellStart"/>
      <w:r w:rsidRPr="00852545">
        <w:rPr>
          <w:sz w:val="26"/>
          <w:szCs w:val="26"/>
          <w:lang w:val="uk-UA"/>
        </w:rPr>
        <w:t>тис.грн</w:t>
      </w:r>
      <w:proofErr w:type="spellEnd"/>
      <w:r w:rsidRPr="00852545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;</w:t>
      </w:r>
    </w:p>
    <w:p w:rsidR="00342696" w:rsidRDefault="00342696" w:rsidP="0034269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42696">
        <w:rPr>
          <w:sz w:val="26"/>
          <w:szCs w:val="26"/>
          <w:lang w:val="uk-UA"/>
        </w:rPr>
        <w:t xml:space="preserve">оплата за тимчасове користування місцем, що перебуває в комунальній власності, для розміщення тимчасових споруд </w:t>
      </w:r>
      <w:r w:rsidR="00EE61B3">
        <w:rPr>
          <w:sz w:val="26"/>
          <w:szCs w:val="26"/>
          <w:lang w:val="uk-UA"/>
        </w:rPr>
        <w:t xml:space="preserve">(в т.ч. пересувних) </w:t>
      </w:r>
      <w:r>
        <w:rPr>
          <w:sz w:val="26"/>
          <w:szCs w:val="26"/>
          <w:lang w:val="uk-UA"/>
        </w:rPr>
        <w:t xml:space="preserve">- </w:t>
      </w:r>
      <w:r w:rsidR="00EE61B3">
        <w:rPr>
          <w:sz w:val="26"/>
          <w:szCs w:val="26"/>
          <w:lang w:val="uk-UA"/>
        </w:rPr>
        <w:t>379,9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356E72" w:rsidRDefault="00342696" w:rsidP="0034269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356E72">
        <w:rPr>
          <w:sz w:val="26"/>
          <w:szCs w:val="26"/>
          <w:lang w:val="uk-UA"/>
        </w:rPr>
        <w:t xml:space="preserve">надходження від продажу частки у статутному капіталі ТОВ "ЧІП", яка належить Чорноморській міській раді, - 203,2 </w:t>
      </w:r>
      <w:proofErr w:type="spellStart"/>
      <w:r w:rsidR="00356E72">
        <w:rPr>
          <w:sz w:val="26"/>
          <w:szCs w:val="26"/>
          <w:lang w:val="uk-UA"/>
        </w:rPr>
        <w:t>тис.грн</w:t>
      </w:r>
      <w:proofErr w:type="spellEnd"/>
      <w:r w:rsidR="00356E72">
        <w:rPr>
          <w:sz w:val="26"/>
          <w:szCs w:val="26"/>
          <w:lang w:val="uk-UA"/>
        </w:rPr>
        <w:t>.;</w:t>
      </w:r>
    </w:p>
    <w:p w:rsidR="00342696" w:rsidRPr="00342696" w:rsidRDefault="00356E72" w:rsidP="0034269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342696">
        <w:rPr>
          <w:sz w:val="26"/>
          <w:szCs w:val="26"/>
          <w:lang w:val="uk-UA"/>
        </w:rPr>
        <w:t xml:space="preserve">інші надходження - </w:t>
      </w:r>
      <w:r>
        <w:rPr>
          <w:sz w:val="26"/>
          <w:szCs w:val="26"/>
          <w:lang w:val="uk-UA"/>
        </w:rPr>
        <w:t>66,</w:t>
      </w:r>
      <w:r w:rsidR="00EE61B3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342696" w:rsidRDefault="00342696" w:rsidP="00C71180">
      <w:pPr>
        <w:jc w:val="both"/>
        <w:rPr>
          <w:b/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D16F2D">
        <w:rPr>
          <w:b/>
          <w:sz w:val="26"/>
          <w:szCs w:val="26"/>
          <w:lang w:val="uk-UA"/>
        </w:rPr>
        <w:t xml:space="preserve">        До  спеціального  фонду  </w:t>
      </w:r>
      <w:r>
        <w:rPr>
          <w:b/>
          <w:sz w:val="26"/>
          <w:szCs w:val="26"/>
          <w:lang w:val="uk-UA"/>
        </w:rPr>
        <w:t xml:space="preserve">міського </w:t>
      </w:r>
      <w:r w:rsidRPr="00D16F2D">
        <w:rPr>
          <w:b/>
          <w:sz w:val="26"/>
          <w:szCs w:val="26"/>
          <w:lang w:val="uk-UA"/>
        </w:rPr>
        <w:t xml:space="preserve">бюджету </w:t>
      </w:r>
      <w:r w:rsidRPr="009A218A">
        <w:rPr>
          <w:sz w:val="26"/>
          <w:szCs w:val="26"/>
          <w:lang w:val="uk-UA"/>
        </w:rPr>
        <w:t xml:space="preserve">за січень - </w:t>
      </w:r>
      <w:r w:rsidR="00EE61B3">
        <w:rPr>
          <w:sz w:val="26"/>
          <w:szCs w:val="26"/>
          <w:lang w:val="uk-UA"/>
        </w:rPr>
        <w:t>вересень</w:t>
      </w:r>
      <w:r w:rsidRPr="009A218A">
        <w:rPr>
          <w:sz w:val="26"/>
          <w:szCs w:val="26"/>
          <w:lang w:val="uk-UA"/>
        </w:rPr>
        <w:t xml:space="preserve"> </w:t>
      </w:r>
      <w:r w:rsidR="00EE61B3">
        <w:rPr>
          <w:sz w:val="26"/>
          <w:szCs w:val="26"/>
          <w:lang w:val="uk-UA"/>
        </w:rPr>
        <w:t>п</w:t>
      </w:r>
      <w:r w:rsidRPr="009A218A">
        <w:rPr>
          <w:sz w:val="26"/>
          <w:szCs w:val="26"/>
          <w:lang w:val="uk-UA"/>
        </w:rPr>
        <w:t>оточного року</w:t>
      </w:r>
      <w:r>
        <w:rPr>
          <w:b/>
          <w:sz w:val="26"/>
          <w:szCs w:val="26"/>
          <w:lang w:val="uk-UA"/>
        </w:rPr>
        <w:t xml:space="preserve"> </w:t>
      </w:r>
      <w:r w:rsidRPr="00D16F2D">
        <w:rPr>
          <w:sz w:val="26"/>
          <w:szCs w:val="26"/>
          <w:lang w:val="uk-UA"/>
        </w:rPr>
        <w:t xml:space="preserve">надійшло </w:t>
      </w:r>
      <w:r w:rsidR="00917661">
        <w:rPr>
          <w:sz w:val="26"/>
          <w:szCs w:val="26"/>
          <w:lang w:val="uk-UA"/>
        </w:rPr>
        <w:t>2</w:t>
      </w:r>
      <w:r w:rsidR="00EE61B3">
        <w:rPr>
          <w:sz w:val="26"/>
          <w:szCs w:val="26"/>
          <w:lang w:val="uk-UA"/>
        </w:rPr>
        <w:t>8 116,4</w:t>
      </w:r>
      <w:r w:rsidRPr="00D16F2D">
        <w:rPr>
          <w:sz w:val="26"/>
          <w:szCs w:val="26"/>
          <w:lang w:val="uk-UA"/>
        </w:rPr>
        <w:t xml:space="preserve"> тис. грн.</w:t>
      </w:r>
      <w:r>
        <w:rPr>
          <w:sz w:val="26"/>
          <w:szCs w:val="26"/>
          <w:lang w:val="uk-UA"/>
        </w:rPr>
        <w:t xml:space="preserve">, що </w:t>
      </w:r>
      <w:r w:rsidR="00917661">
        <w:rPr>
          <w:sz w:val="26"/>
          <w:szCs w:val="26"/>
          <w:lang w:val="uk-UA"/>
        </w:rPr>
        <w:t xml:space="preserve">у 5 разів </w:t>
      </w:r>
      <w:r>
        <w:rPr>
          <w:sz w:val="26"/>
          <w:szCs w:val="26"/>
          <w:lang w:val="uk-UA"/>
        </w:rPr>
        <w:t>більше надходжень відповідного періоду минулого року.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Н</w:t>
      </w:r>
      <w:r w:rsidRPr="00D16F2D">
        <w:rPr>
          <w:sz w:val="26"/>
          <w:szCs w:val="26"/>
          <w:lang w:val="uk-UA"/>
        </w:rPr>
        <w:t xml:space="preserve">адходження до </w:t>
      </w:r>
      <w:r w:rsidRPr="00D16F2D">
        <w:rPr>
          <w:b/>
          <w:sz w:val="26"/>
          <w:szCs w:val="26"/>
          <w:lang w:val="uk-UA"/>
        </w:rPr>
        <w:t>бюджету розвитку</w:t>
      </w:r>
      <w:r w:rsidRPr="00D16F2D">
        <w:rPr>
          <w:sz w:val="26"/>
          <w:szCs w:val="26"/>
          <w:lang w:val="uk-UA"/>
        </w:rPr>
        <w:t xml:space="preserve"> с</w:t>
      </w:r>
      <w:r>
        <w:rPr>
          <w:sz w:val="26"/>
          <w:szCs w:val="26"/>
          <w:lang w:val="uk-UA"/>
        </w:rPr>
        <w:t>тановлять</w:t>
      </w:r>
      <w:r w:rsidRPr="00D16F2D">
        <w:rPr>
          <w:sz w:val="26"/>
          <w:szCs w:val="26"/>
          <w:lang w:val="uk-UA"/>
        </w:rPr>
        <w:t xml:space="preserve"> </w:t>
      </w:r>
      <w:r w:rsidR="00C26DB4">
        <w:rPr>
          <w:sz w:val="26"/>
          <w:szCs w:val="26"/>
          <w:lang w:val="uk-UA"/>
        </w:rPr>
        <w:t>1</w:t>
      </w:r>
      <w:r w:rsidR="00917661">
        <w:rPr>
          <w:sz w:val="26"/>
          <w:szCs w:val="26"/>
          <w:lang w:val="uk-UA"/>
        </w:rPr>
        <w:t xml:space="preserve">5 </w:t>
      </w:r>
      <w:r w:rsidR="00EE61B3">
        <w:rPr>
          <w:sz w:val="26"/>
          <w:szCs w:val="26"/>
          <w:lang w:val="uk-UA"/>
        </w:rPr>
        <w:t>818,6</w:t>
      </w:r>
      <w:r w:rsidRPr="00D16F2D">
        <w:rPr>
          <w:sz w:val="26"/>
          <w:szCs w:val="26"/>
          <w:lang w:val="uk-UA"/>
        </w:rPr>
        <w:t xml:space="preserve"> </w:t>
      </w:r>
      <w:proofErr w:type="spellStart"/>
      <w:r w:rsidRPr="00D16F2D">
        <w:rPr>
          <w:sz w:val="26"/>
          <w:szCs w:val="26"/>
          <w:lang w:val="uk-UA"/>
        </w:rPr>
        <w:t>тис.грн</w:t>
      </w:r>
      <w:proofErr w:type="spellEnd"/>
      <w:r w:rsidRPr="00D16F2D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, або </w:t>
      </w:r>
      <w:r w:rsidR="00917661">
        <w:rPr>
          <w:sz w:val="26"/>
          <w:szCs w:val="26"/>
          <w:lang w:val="uk-UA"/>
        </w:rPr>
        <w:t>5</w:t>
      </w:r>
      <w:r w:rsidR="00EE61B3">
        <w:rPr>
          <w:sz w:val="26"/>
          <w:szCs w:val="26"/>
          <w:lang w:val="uk-UA"/>
        </w:rPr>
        <w:t>6,3</w:t>
      </w:r>
      <w:r w:rsidRPr="00D16F2D">
        <w:rPr>
          <w:sz w:val="26"/>
          <w:szCs w:val="26"/>
          <w:lang w:val="uk-UA"/>
        </w:rPr>
        <w:t xml:space="preserve"> % від </w:t>
      </w:r>
      <w:r>
        <w:rPr>
          <w:sz w:val="26"/>
          <w:szCs w:val="26"/>
          <w:lang w:val="uk-UA"/>
        </w:rPr>
        <w:t xml:space="preserve">загальної суми </w:t>
      </w:r>
      <w:r w:rsidRPr="00D16F2D">
        <w:rPr>
          <w:sz w:val="26"/>
          <w:szCs w:val="26"/>
          <w:lang w:val="uk-UA"/>
        </w:rPr>
        <w:t>надходжень до спеціального фонду</w:t>
      </w:r>
      <w:r>
        <w:rPr>
          <w:sz w:val="26"/>
          <w:szCs w:val="26"/>
          <w:lang w:val="uk-UA"/>
        </w:rPr>
        <w:t>, в тому числі :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надходження коштів пайової участі у розвитку інфраструктури населеного пункту - </w:t>
      </w:r>
      <w:r w:rsidR="00EE61B3">
        <w:rPr>
          <w:sz w:val="26"/>
          <w:szCs w:val="26"/>
          <w:lang w:val="uk-UA"/>
        </w:rPr>
        <w:t>9 076,3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кошти від продажу земельних ділянок несільськогосподарського призначення, що перебувають у комунальній власності - 2</w:t>
      </w:r>
      <w:r w:rsidR="00917661">
        <w:rPr>
          <w:sz w:val="26"/>
          <w:szCs w:val="26"/>
          <w:lang w:val="uk-UA"/>
        </w:rPr>
        <w:t>43,6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субвенція з обласного бюджету на </w:t>
      </w:r>
      <w:r w:rsidR="0005341C">
        <w:rPr>
          <w:sz w:val="26"/>
          <w:szCs w:val="26"/>
          <w:lang w:val="uk-UA"/>
        </w:rPr>
        <w:t xml:space="preserve">виконання </w:t>
      </w:r>
      <w:r>
        <w:rPr>
          <w:sz w:val="26"/>
          <w:szCs w:val="26"/>
          <w:lang w:val="uk-UA"/>
        </w:rPr>
        <w:t>інвестиційн</w:t>
      </w:r>
      <w:r w:rsidR="0005341C">
        <w:rPr>
          <w:sz w:val="26"/>
          <w:szCs w:val="26"/>
          <w:lang w:val="uk-UA"/>
        </w:rPr>
        <w:t>их</w:t>
      </w:r>
      <w:r>
        <w:rPr>
          <w:sz w:val="26"/>
          <w:szCs w:val="26"/>
          <w:lang w:val="uk-UA"/>
        </w:rPr>
        <w:t xml:space="preserve"> проект</w:t>
      </w:r>
      <w:r w:rsidR="0005341C">
        <w:rPr>
          <w:sz w:val="26"/>
          <w:szCs w:val="26"/>
          <w:lang w:val="uk-UA"/>
        </w:rPr>
        <w:t xml:space="preserve">ів </w:t>
      </w:r>
      <w:r>
        <w:rPr>
          <w:sz w:val="26"/>
          <w:szCs w:val="26"/>
          <w:lang w:val="uk-UA"/>
        </w:rPr>
        <w:t xml:space="preserve"> - </w:t>
      </w:r>
      <w:r w:rsidR="00917661">
        <w:rPr>
          <w:sz w:val="26"/>
          <w:szCs w:val="26"/>
          <w:lang w:val="uk-UA"/>
        </w:rPr>
        <w:t xml:space="preserve">                              6  </w:t>
      </w:r>
      <w:r w:rsidR="00EE61B3">
        <w:rPr>
          <w:sz w:val="26"/>
          <w:szCs w:val="26"/>
          <w:lang w:val="uk-UA"/>
        </w:rPr>
        <w:t>498,7</w:t>
      </w:r>
      <w:r w:rsidR="00917661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D16F2D">
        <w:rPr>
          <w:sz w:val="26"/>
          <w:szCs w:val="26"/>
          <w:lang w:val="uk-UA"/>
        </w:rPr>
        <w:t xml:space="preserve">         </w:t>
      </w:r>
      <w:r w:rsidRPr="00D16F2D">
        <w:rPr>
          <w:b/>
          <w:sz w:val="26"/>
          <w:szCs w:val="26"/>
          <w:lang w:val="uk-UA"/>
        </w:rPr>
        <w:t>Власні надходження</w:t>
      </w:r>
      <w:r w:rsidRPr="00D16F2D">
        <w:rPr>
          <w:sz w:val="26"/>
          <w:szCs w:val="26"/>
          <w:lang w:val="uk-UA"/>
        </w:rPr>
        <w:t xml:space="preserve"> бюджетних установ за січень - </w:t>
      </w:r>
      <w:r w:rsidR="00EE61B3">
        <w:rPr>
          <w:sz w:val="26"/>
          <w:szCs w:val="26"/>
          <w:lang w:val="uk-UA"/>
        </w:rPr>
        <w:t>вересень</w:t>
      </w:r>
      <w:r w:rsidRPr="00D16F2D">
        <w:rPr>
          <w:sz w:val="26"/>
          <w:szCs w:val="26"/>
          <w:lang w:val="uk-UA"/>
        </w:rPr>
        <w:t xml:space="preserve"> 2016 року становлять </w:t>
      </w:r>
      <w:r w:rsidR="00917661">
        <w:rPr>
          <w:sz w:val="26"/>
          <w:szCs w:val="26"/>
          <w:lang w:val="uk-UA"/>
        </w:rPr>
        <w:t xml:space="preserve">6 </w:t>
      </w:r>
      <w:r w:rsidR="00EE61B3">
        <w:rPr>
          <w:sz w:val="26"/>
          <w:szCs w:val="26"/>
          <w:lang w:val="uk-UA"/>
        </w:rPr>
        <w:t>828,0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</w:t>
      </w:r>
    </w:p>
    <w:p w:rsidR="00C71180" w:rsidRDefault="0005341C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Pr="00EE61B3">
        <w:rPr>
          <w:b/>
          <w:sz w:val="26"/>
          <w:szCs w:val="26"/>
          <w:lang w:val="uk-UA"/>
        </w:rPr>
        <w:t>Екологічного</w:t>
      </w:r>
      <w:r w:rsidR="00C71180" w:rsidRPr="00EE61B3">
        <w:rPr>
          <w:b/>
          <w:sz w:val="26"/>
          <w:szCs w:val="26"/>
          <w:lang w:val="uk-UA"/>
        </w:rPr>
        <w:t xml:space="preserve"> податку</w:t>
      </w:r>
      <w:r w:rsidR="00C7118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 звітний період надійшло </w:t>
      </w:r>
      <w:r w:rsidR="00C71180">
        <w:rPr>
          <w:sz w:val="26"/>
          <w:szCs w:val="26"/>
          <w:lang w:val="uk-UA"/>
        </w:rPr>
        <w:t xml:space="preserve">в сумі </w:t>
      </w:r>
      <w:r w:rsidR="00C26DB4">
        <w:rPr>
          <w:sz w:val="26"/>
          <w:szCs w:val="26"/>
          <w:lang w:val="uk-UA"/>
        </w:rPr>
        <w:t>1</w:t>
      </w:r>
      <w:r w:rsidR="00917661">
        <w:rPr>
          <w:sz w:val="26"/>
          <w:szCs w:val="26"/>
          <w:lang w:val="uk-UA"/>
        </w:rPr>
        <w:t>68,2</w:t>
      </w:r>
      <w:r w:rsidR="00C71180">
        <w:rPr>
          <w:sz w:val="26"/>
          <w:szCs w:val="26"/>
          <w:lang w:val="uk-UA"/>
        </w:rPr>
        <w:t xml:space="preserve"> </w:t>
      </w:r>
      <w:proofErr w:type="spellStart"/>
      <w:r w:rsidR="00C71180">
        <w:rPr>
          <w:sz w:val="26"/>
          <w:szCs w:val="26"/>
          <w:lang w:val="uk-UA"/>
        </w:rPr>
        <w:t>тис.грн</w:t>
      </w:r>
      <w:proofErr w:type="spellEnd"/>
      <w:r w:rsidR="00C71180">
        <w:rPr>
          <w:sz w:val="26"/>
          <w:szCs w:val="26"/>
          <w:lang w:val="uk-UA"/>
        </w:rPr>
        <w:t>., що становить 1</w:t>
      </w:r>
      <w:r w:rsidR="00EE61B3">
        <w:rPr>
          <w:sz w:val="26"/>
          <w:szCs w:val="26"/>
          <w:lang w:val="uk-UA"/>
        </w:rPr>
        <w:t>19,1</w:t>
      </w:r>
      <w:r w:rsidR="00C71180">
        <w:rPr>
          <w:sz w:val="26"/>
          <w:szCs w:val="26"/>
          <w:lang w:val="uk-UA"/>
        </w:rPr>
        <w:t xml:space="preserve"> % планових показників </w:t>
      </w:r>
      <w:r w:rsidR="00917661">
        <w:rPr>
          <w:sz w:val="26"/>
          <w:szCs w:val="26"/>
          <w:lang w:val="uk-UA"/>
        </w:rPr>
        <w:t xml:space="preserve">за </w:t>
      </w:r>
      <w:r w:rsidR="00EE61B3">
        <w:rPr>
          <w:sz w:val="26"/>
          <w:szCs w:val="26"/>
          <w:lang w:val="uk-UA"/>
        </w:rPr>
        <w:t>9</w:t>
      </w:r>
      <w:r w:rsidR="00917661">
        <w:rPr>
          <w:sz w:val="26"/>
          <w:szCs w:val="26"/>
          <w:lang w:val="uk-UA"/>
        </w:rPr>
        <w:t xml:space="preserve"> місяців.</w:t>
      </w:r>
    </w:p>
    <w:p w:rsidR="00EE61B3" w:rsidRDefault="00EE61B3" w:rsidP="00C71180">
      <w:pPr>
        <w:jc w:val="both"/>
        <w:rPr>
          <w:sz w:val="26"/>
          <w:szCs w:val="26"/>
          <w:lang w:val="uk-UA"/>
        </w:rPr>
      </w:pPr>
    </w:p>
    <w:p w:rsidR="00EE61B3" w:rsidRDefault="00EE61B3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Надходження до </w:t>
      </w:r>
      <w:r w:rsidRPr="00EE61B3">
        <w:rPr>
          <w:b/>
          <w:sz w:val="26"/>
          <w:szCs w:val="26"/>
          <w:lang w:val="uk-UA"/>
        </w:rPr>
        <w:t>фонду охорони навколишнього природного середовища</w:t>
      </w:r>
      <w:r>
        <w:rPr>
          <w:sz w:val="26"/>
          <w:szCs w:val="26"/>
          <w:lang w:val="uk-UA"/>
        </w:rPr>
        <w:t xml:space="preserve"> складають 243,6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діяльності).</w:t>
      </w:r>
    </w:p>
    <w:p w:rsidR="00917661" w:rsidRDefault="00917661" w:rsidP="00C71180">
      <w:pPr>
        <w:jc w:val="both"/>
        <w:rPr>
          <w:sz w:val="26"/>
          <w:szCs w:val="26"/>
          <w:lang w:val="uk-UA"/>
        </w:rPr>
      </w:pPr>
    </w:p>
    <w:p w:rsidR="00917661" w:rsidRDefault="00917661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EE61B3">
        <w:rPr>
          <w:b/>
          <w:sz w:val="26"/>
          <w:szCs w:val="26"/>
          <w:lang w:val="uk-UA"/>
        </w:rPr>
        <w:t>До цільового фонду</w:t>
      </w:r>
      <w:r>
        <w:rPr>
          <w:sz w:val="26"/>
          <w:szCs w:val="26"/>
          <w:lang w:val="uk-UA"/>
        </w:rPr>
        <w:t xml:space="preserve"> надійшло 5 004,</w:t>
      </w:r>
      <w:r w:rsidR="00EE61B3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., в т.ч. :</w:t>
      </w:r>
    </w:p>
    <w:p w:rsidR="00917661" w:rsidRDefault="00917661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дольова участь </w:t>
      </w:r>
      <w:proofErr w:type="spellStart"/>
      <w:r>
        <w:rPr>
          <w:sz w:val="26"/>
          <w:szCs w:val="26"/>
          <w:lang w:val="uk-UA"/>
        </w:rPr>
        <w:t>ДП</w:t>
      </w:r>
      <w:proofErr w:type="spellEnd"/>
      <w:r>
        <w:rPr>
          <w:sz w:val="26"/>
          <w:szCs w:val="26"/>
          <w:lang w:val="uk-UA"/>
        </w:rPr>
        <w:t xml:space="preserve"> "ІМТП" у фінансуванні будівництва об`єкту "Мостовий перехід через Сухий лиман" - 5 000,0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917661" w:rsidRDefault="00917661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інші - 4,</w:t>
      </w:r>
      <w:r w:rsidR="00EE61B3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512AB0" w:rsidRDefault="00512AB0" w:rsidP="00C71180">
      <w:pPr>
        <w:jc w:val="both"/>
        <w:rPr>
          <w:sz w:val="26"/>
          <w:szCs w:val="26"/>
          <w:lang w:val="uk-UA"/>
        </w:rPr>
      </w:pPr>
    </w:p>
    <w:p w:rsidR="00512AB0" w:rsidRPr="00917661" w:rsidRDefault="00512AB0" w:rsidP="00C71180">
      <w:pPr>
        <w:jc w:val="both"/>
        <w:rPr>
          <w:sz w:val="26"/>
          <w:szCs w:val="26"/>
          <w:lang w:val="uk-UA"/>
        </w:rPr>
      </w:pPr>
    </w:p>
    <w:p w:rsidR="00CD782D" w:rsidRDefault="00CD782D" w:rsidP="00A57B7B">
      <w:pPr>
        <w:jc w:val="both"/>
        <w:rPr>
          <w:lang w:val="uk-UA"/>
        </w:rPr>
      </w:pPr>
    </w:p>
    <w:p w:rsidR="00C71180" w:rsidRDefault="00C71180" w:rsidP="00C71180">
      <w:pPr>
        <w:jc w:val="both"/>
        <w:rPr>
          <w:b/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       </w:t>
      </w:r>
      <w:r w:rsidRPr="00EE61B3">
        <w:rPr>
          <w:sz w:val="26"/>
          <w:szCs w:val="26"/>
          <w:highlight w:val="yellow"/>
          <w:lang w:val="uk-UA"/>
        </w:rPr>
        <w:t>Виходячи з обсягу отриманих доходів та вільного залишку коштів на початок</w:t>
      </w:r>
      <w:r w:rsidRPr="001143E3">
        <w:rPr>
          <w:sz w:val="26"/>
          <w:szCs w:val="26"/>
          <w:lang w:val="uk-UA"/>
        </w:rPr>
        <w:t xml:space="preserve"> 2016 року, </w:t>
      </w:r>
      <w:r w:rsidRPr="001143E3">
        <w:rPr>
          <w:b/>
          <w:sz w:val="26"/>
          <w:szCs w:val="26"/>
          <w:lang w:val="uk-UA"/>
        </w:rPr>
        <w:t xml:space="preserve">видатки </w:t>
      </w:r>
      <w:r>
        <w:rPr>
          <w:b/>
          <w:sz w:val="26"/>
          <w:szCs w:val="26"/>
          <w:lang w:val="uk-UA"/>
        </w:rPr>
        <w:t xml:space="preserve">міського </w:t>
      </w:r>
      <w:r w:rsidRPr="001143E3">
        <w:rPr>
          <w:b/>
          <w:sz w:val="26"/>
          <w:szCs w:val="26"/>
          <w:lang w:val="uk-UA"/>
        </w:rPr>
        <w:t>бюджету міста Чорноморська</w:t>
      </w:r>
      <w:r w:rsidRPr="001143E3">
        <w:rPr>
          <w:sz w:val="26"/>
          <w:szCs w:val="26"/>
          <w:lang w:val="uk-UA"/>
        </w:rPr>
        <w:t xml:space="preserve"> за звітний період проведені  </w:t>
      </w:r>
      <w:r w:rsidRPr="001143E3">
        <w:rPr>
          <w:b/>
          <w:sz w:val="26"/>
          <w:szCs w:val="26"/>
          <w:lang w:val="uk-UA"/>
        </w:rPr>
        <w:t xml:space="preserve">в сумі  </w:t>
      </w:r>
      <w:r w:rsidR="00A215A4">
        <w:rPr>
          <w:b/>
          <w:sz w:val="26"/>
          <w:szCs w:val="26"/>
          <w:lang w:val="uk-UA"/>
        </w:rPr>
        <w:t>380 576,3</w:t>
      </w:r>
      <w:r w:rsidRPr="001143E3">
        <w:rPr>
          <w:b/>
          <w:sz w:val="26"/>
          <w:szCs w:val="26"/>
          <w:lang w:val="uk-UA"/>
        </w:rPr>
        <w:t xml:space="preserve">  тис. грн.</w:t>
      </w:r>
      <w:r>
        <w:rPr>
          <w:b/>
          <w:sz w:val="26"/>
          <w:szCs w:val="26"/>
          <w:lang w:val="uk-UA"/>
        </w:rPr>
        <w:t xml:space="preserve">, що на </w:t>
      </w:r>
      <w:r w:rsidR="005531C9">
        <w:rPr>
          <w:b/>
          <w:sz w:val="26"/>
          <w:szCs w:val="26"/>
          <w:lang w:val="uk-UA"/>
        </w:rPr>
        <w:t>80 712,4</w:t>
      </w:r>
      <w:r>
        <w:rPr>
          <w:b/>
          <w:sz w:val="26"/>
          <w:szCs w:val="26"/>
          <w:lang w:val="uk-UA"/>
        </w:rPr>
        <w:t xml:space="preserve"> тис. грн., або на </w:t>
      </w:r>
      <w:r w:rsidR="0029187C">
        <w:rPr>
          <w:b/>
          <w:sz w:val="26"/>
          <w:szCs w:val="26"/>
          <w:lang w:val="uk-UA"/>
        </w:rPr>
        <w:t>12</w:t>
      </w:r>
      <w:r w:rsidR="005531C9">
        <w:rPr>
          <w:b/>
          <w:sz w:val="26"/>
          <w:szCs w:val="26"/>
          <w:lang w:val="uk-UA"/>
        </w:rPr>
        <w:t>6</w:t>
      </w:r>
      <w:r w:rsidR="0029187C">
        <w:rPr>
          <w:b/>
          <w:sz w:val="26"/>
          <w:szCs w:val="26"/>
          <w:lang w:val="uk-UA"/>
        </w:rPr>
        <w:t>,</w:t>
      </w:r>
      <w:r w:rsidR="005531C9">
        <w:rPr>
          <w:b/>
          <w:sz w:val="26"/>
          <w:szCs w:val="26"/>
          <w:lang w:val="uk-UA"/>
        </w:rPr>
        <w:t>9</w:t>
      </w:r>
      <w:r>
        <w:rPr>
          <w:b/>
          <w:sz w:val="26"/>
          <w:szCs w:val="26"/>
          <w:lang w:val="uk-UA"/>
        </w:rPr>
        <w:t xml:space="preserve"> % більше в порівнянні з аналогічним періодом минулого року.</w:t>
      </w:r>
    </w:p>
    <w:p w:rsidR="00C77D8C" w:rsidRDefault="00C77D8C" w:rsidP="00C71180">
      <w:pPr>
        <w:jc w:val="both"/>
        <w:rPr>
          <w:b/>
          <w:sz w:val="26"/>
          <w:szCs w:val="26"/>
          <w:lang w:val="uk-UA"/>
        </w:rPr>
      </w:pPr>
    </w:p>
    <w:p w:rsidR="00C77D8C" w:rsidRDefault="00C77D8C" w:rsidP="00C71180">
      <w:pPr>
        <w:jc w:val="both"/>
        <w:rPr>
          <w:b/>
          <w:sz w:val="26"/>
          <w:szCs w:val="26"/>
          <w:lang w:val="uk-UA"/>
        </w:rPr>
      </w:pPr>
    </w:p>
    <w:p w:rsidR="00C77D8C" w:rsidRDefault="00C77D8C" w:rsidP="00C71180">
      <w:pPr>
        <w:jc w:val="both"/>
        <w:rPr>
          <w:b/>
          <w:sz w:val="26"/>
          <w:szCs w:val="26"/>
          <w:lang w:val="uk-UA"/>
        </w:rPr>
      </w:pPr>
    </w:p>
    <w:p w:rsidR="00C77D8C" w:rsidRPr="001143E3" w:rsidRDefault="00D70C21" w:rsidP="00C71180">
      <w:pPr>
        <w:jc w:val="both"/>
        <w:rPr>
          <w:b/>
          <w:sz w:val="26"/>
          <w:szCs w:val="26"/>
          <w:lang w:val="uk-UA"/>
        </w:rPr>
      </w:pPr>
      <w:r>
        <w:rPr>
          <w:b/>
          <w:noProof/>
          <w:sz w:val="26"/>
          <w:szCs w:val="26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2pt;margin-top:353.7pt;width:495.75pt;height:.75pt;flip:y;z-index:251658240" o:connectortype="straight"/>
        </w:pict>
      </w:r>
      <w:r w:rsidR="00C77D8C" w:rsidRPr="00C77D8C">
        <w:rPr>
          <w:b/>
          <w:noProof/>
          <w:sz w:val="26"/>
          <w:szCs w:val="26"/>
        </w:rPr>
        <w:drawing>
          <wp:inline distT="0" distB="0" distL="0" distR="0">
            <wp:extent cx="6283325" cy="4514850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1143E3" w:rsidRDefault="00C71180" w:rsidP="00C71180">
      <w:pPr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       Структуру видатків складають видатки на утримання  бюджетних установ,  житлово-комунального господарства,  реалізацію міських   програм соціально-економічного та культурного розвитку міста, соціальний захист  та  соціальне  забезпечення  населення,  утримання об’єктів соціальної і інженерної інфраструктури Чорноморської міської ради, за такими напрямками :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1E6735" w:rsidRDefault="00C71180" w:rsidP="00C71180">
      <w:pPr>
        <w:jc w:val="both"/>
        <w:rPr>
          <w:sz w:val="26"/>
          <w:szCs w:val="26"/>
          <w:lang w:val="uk-UA"/>
        </w:rPr>
      </w:pPr>
      <w:r w:rsidRPr="001E6735">
        <w:rPr>
          <w:sz w:val="26"/>
          <w:szCs w:val="26"/>
          <w:lang w:val="uk-UA"/>
        </w:rPr>
        <w:t xml:space="preserve">     - </w:t>
      </w:r>
      <w:r w:rsidRPr="001E6735">
        <w:rPr>
          <w:b/>
          <w:sz w:val="26"/>
          <w:szCs w:val="26"/>
          <w:lang w:val="uk-UA"/>
        </w:rPr>
        <w:t>освіта</w:t>
      </w:r>
      <w:r w:rsidRPr="001E6735">
        <w:rPr>
          <w:sz w:val="26"/>
          <w:szCs w:val="26"/>
          <w:lang w:val="uk-UA"/>
        </w:rPr>
        <w:t xml:space="preserve"> –  </w:t>
      </w:r>
      <w:r w:rsidR="005531C9">
        <w:rPr>
          <w:sz w:val="26"/>
          <w:szCs w:val="26"/>
          <w:lang w:val="uk-UA"/>
        </w:rPr>
        <w:t>110 591,7</w:t>
      </w:r>
      <w:r w:rsidRPr="001E6735">
        <w:rPr>
          <w:sz w:val="26"/>
          <w:szCs w:val="26"/>
          <w:lang w:val="uk-UA"/>
        </w:rPr>
        <w:t xml:space="preserve">  тис. грн. ( </w:t>
      </w:r>
      <w:r w:rsidR="00421EBE">
        <w:rPr>
          <w:sz w:val="26"/>
          <w:szCs w:val="26"/>
          <w:lang w:val="uk-UA"/>
        </w:rPr>
        <w:t>29,</w:t>
      </w:r>
      <w:r w:rsidR="004A6393">
        <w:rPr>
          <w:sz w:val="26"/>
          <w:szCs w:val="26"/>
          <w:lang w:val="uk-UA"/>
        </w:rPr>
        <w:t>0</w:t>
      </w:r>
      <w:r w:rsidRPr="001E6735">
        <w:rPr>
          <w:sz w:val="26"/>
          <w:szCs w:val="26"/>
          <w:lang w:val="uk-UA"/>
        </w:rPr>
        <w:t xml:space="preserve"> % проведених видатків</w:t>
      </w:r>
      <w:r>
        <w:rPr>
          <w:sz w:val="26"/>
          <w:szCs w:val="26"/>
          <w:lang w:val="uk-UA"/>
        </w:rPr>
        <w:t xml:space="preserve"> міського бюджету</w:t>
      </w:r>
      <w:r w:rsidRPr="001E6735">
        <w:rPr>
          <w:sz w:val="26"/>
          <w:szCs w:val="26"/>
          <w:lang w:val="uk-UA"/>
        </w:rPr>
        <w:t>).</w:t>
      </w:r>
    </w:p>
    <w:p w:rsidR="00C71180" w:rsidRDefault="00C71180" w:rsidP="00C71180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     В загальних видатках на освіту, складають видатки на утримання професійно - технічної освіти в сумі </w:t>
      </w:r>
      <w:r w:rsidR="005531C9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11 075,4</w:t>
      </w:r>
      <w:r w:rsidR="0029187C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,0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тис. грн., фінансування якої з 2016 року передано на бюджети міст обласного значення відповідно до З</w:t>
      </w: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акон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у</w:t>
      </w: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України від 24.12.2015р. № 914-VIII "Про внесення змін </w:t>
      </w:r>
      <w:proofErr w:type="spellStart"/>
      <w:r w:rsidR="0005341C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з</w:t>
      </w: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до</w:t>
      </w:r>
      <w:proofErr w:type="spellEnd"/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Бюджетного кодексу України"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.</w:t>
      </w:r>
    </w:p>
    <w:p w:rsidR="00C71180" w:rsidRDefault="00C71180" w:rsidP="00C71180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     В місті Чорноморську функціонують два заклади професійно - технічної освіти:</w:t>
      </w:r>
    </w:p>
    <w:p w:rsidR="00C71180" w:rsidRDefault="00C71180" w:rsidP="00C71180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- </w:t>
      </w: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Д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ержавний навчальний заклад </w:t>
      </w: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"Іллічівський професійний судноремонтний ліцей"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;</w:t>
      </w:r>
    </w:p>
    <w:p w:rsidR="00C71180" w:rsidRDefault="00C71180" w:rsidP="00C71180">
      <w:pPr>
        <w:rPr>
          <w:sz w:val="26"/>
          <w:szCs w:val="26"/>
          <w:lang w:val="uk-UA"/>
        </w:rPr>
      </w:pPr>
      <w:r w:rsidRPr="001E6735">
        <w:rPr>
          <w:sz w:val="26"/>
          <w:szCs w:val="26"/>
          <w:lang w:val="uk-UA"/>
        </w:rPr>
        <w:t xml:space="preserve">- Іллічівський морський коледж </w:t>
      </w:r>
      <w:r>
        <w:rPr>
          <w:sz w:val="26"/>
          <w:szCs w:val="26"/>
          <w:lang w:val="uk-UA"/>
        </w:rPr>
        <w:t>Одеського національного морського університету.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     - </w:t>
      </w:r>
      <w:r w:rsidRPr="001E6735">
        <w:rPr>
          <w:b/>
          <w:sz w:val="26"/>
          <w:szCs w:val="26"/>
          <w:lang w:val="uk-UA"/>
        </w:rPr>
        <w:t>соціальний захист та соціальне забезпечення</w:t>
      </w:r>
      <w:r w:rsidRPr="001143E3">
        <w:rPr>
          <w:sz w:val="26"/>
          <w:szCs w:val="26"/>
          <w:lang w:val="uk-UA"/>
        </w:rPr>
        <w:t xml:space="preserve"> – </w:t>
      </w:r>
      <w:r w:rsidR="005531C9">
        <w:rPr>
          <w:sz w:val="26"/>
          <w:szCs w:val="26"/>
          <w:lang w:val="uk-UA"/>
        </w:rPr>
        <w:t>94 391,3</w:t>
      </w:r>
      <w:r w:rsidRPr="001143E3">
        <w:rPr>
          <w:sz w:val="26"/>
          <w:szCs w:val="26"/>
          <w:lang w:val="uk-UA"/>
        </w:rPr>
        <w:t xml:space="preserve">  тис. грн. ( </w:t>
      </w:r>
      <w:r>
        <w:rPr>
          <w:sz w:val="26"/>
          <w:szCs w:val="26"/>
          <w:lang w:val="uk-UA"/>
        </w:rPr>
        <w:t>2</w:t>
      </w:r>
      <w:r w:rsidR="004A6393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,</w:t>
      </w:r>
      <w:r w:rsidR="004A6393">
        <w:rPr>
          <w:sz w:val="26"/>
          <w:szCs w:val="26"/>
          <w:lang w:val="uk-UA"/>
        </w:rPr>
        <w:t>8</w:t>
      </w:r>
      <w:r w:rsidRPr="001143E3">
        <w:rPr>
          <w:sz w:val="26"/>
          <w:szCs w:val="26"/>
          <w:lang w:val="uk-UA"/>
        </w:rPr>
        <w:t xml:space="preserve">  %);</w:t>
      </w:r>
      <w:r w:rsidRPr="001143E3">
        <w:rPr>
          <w:sz w:val="26"/>
          <w:szCs w:val="26"/>
          <w:lang w:val="uk-UA"/>
        </w:rPr>
        <w:cr/>
      </w:r>
    </w:p>
    <w:p w:rsidR="00C71180" w:rsidRPr="001143E3" w:rsidRDefault="00C71180" w:rsidP="00C71180">
      <w:pPr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     - </w:t>
      </w:r>
      <w:r w:rsidRPr="001E6735">
        <w:rPr>
          <w:b/>
          <w:sz w:val="26"/>
          <w:szCs w:val="26"/>
          <w:lang w:val="uk-UA"/>
        </w:rPr>
        <w:t>житлово-комунальне господарство</w:t>
      </w:r>
      <w:r w:rsidRPr="001143E3">
        <w:rPr>
          <w:sz w:val="26"/>
          <w:szCs w:val="26"/>
          <w:lang w:val="uk-UA"/>
        </w:rPr>
        <w:t xml:space="preserve"> – </w:t>
      </w:r>
      <w:r w:rsidR="005531C9">
        <w:rPr>
          <w:sz w:val="26"/>
          <w:szCs w:val="26"/>
          <w:lang w:val="uk-UA"/>
        </w:rPr>
        <w:t>50 719,9</w:t>
      </w:r>
      <w:r w:rsidRPr="001143E3">
        <w:rPr>
          <w:sz w:val="26"/>
          <w:szCs w:val="26"/>
          <w:lang w:val="uk-UA"/>
        </w:rPr>
        <w:t xml:space="preserve"> тис.  грн. ( </w:t>
      </w:r>
      <w:r w:rsidR="00260E21">
        <w:rPr>
          <w:sz w:val="26"/>
          <w:szCs w:val="26"/>
          <w:lang w:val="uk-UA"/>
        </w:rPr>
        <w:t>1</w:t>
      </w:r>
      <w:r w:rsidR="004A6393">
        <w:rPr>
          <w:sz w:val="26"/>
          <w:szCs w:val="26"/>
          <w:lang w:val="uk-UA"/>
        </w:rPr>
        <w:t>3</w:t>
      </w:r>
      <w:r w:rsidR="00260E21">
        <w:rPr>
          <w:sz w:val="26"/>
          <w:szCs w:val="26"/>
          <w:lang w:val="uk-UA"/>
        </w:rPr>
        <w:t>,</w:t>
      </w:r>
      <w:r w:rsidR="004A6393">
        <w:rPr>
          <w:sz w:val="26"/>
          <w:szCs w:val="26"/>
          <w:lang w:val="uk-UA"/>
        </w:rPr>
        <w:t>3</w:t>
      </w:r>
      <w:r w:rsidRPr="001143E3">
        <w:rPr>
          <w:sz w:val="26"/>
          <w:szCs w:val="26"/>
          <w:lang w:val="uk-UA"/>
        </w:rPr>
        <w:t xml:space="preserve"> % );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     - </w:t>
      </w:r>
      <w:r w:rsidRPr="001E6735">
        <w:rPr>
          <w:b/>
          <w:sz w:val="26"/>
          <w:szCs w:val="26"/>
          <w:lang w:val="uk-UA"/>
        </w:rPr>
        <w:t>функціонування місцевого самоврядування</w:t>
      </w:r>
      <w:r w:rsidRPr="001143E3">
        <w:rPr>
          <w:sz w:val="26"/>
          <w:szCs w:val="26"/>
          <w:lang w:val="uk-UA"/>
        </w:rPr>
        <w:t xml:space="preserve"> – </w:t>
      </w:r>
      <w:r w:rsidR="00276207">
        <w:rPr>
          <w:sz w:val="26"/>
          <w:szCs w:val="26"/>
          <w:lang w:val="uk-UA"/>
        </w:rPr>
        <w:t>1</w:t>
      </w:r>
      <w:r w:rsidR="005531C9">
        <w:rPr>
          <w:sz w:val="26"/>
          <w:szCs w:val="26"/>
          <w:lang w:val="uk-UA"/>
        </w:rPr>
        <w:t>9</w:t>
      </w:r>
      <w:r w:rsidR="00276207">
        <w:rPr>
          <w:sz w:val="26"/>
          <w:szCs w:val="26"/>
          <w:lang w:val="uk-UA"/>
        </w:rPr>
        <w:t xml:space="preserve"> </w:t>
      </w:r>
      <w:r w:rsidR="005531C9">
        <w:rPr>
          <w:sz w:val="26"/>
          <w:szCs w:val="26"/>
          <w:lang w:val="uk-UA"/>
        </w:rPr>
        <w:t>1</w:t>
      </w:r>
      <w:r w:rsidR="00276207">
        <w:rPr>
          <w:sz w:val="26"/>
          <w:szCs w:val="26"/>
          <w:lang w:val="uk-UA"/>
        </w:rPr>
        <w:t>3</w:t>
      </w:r>
      <w:r w:rsidR="005531C9">
        <w:rPr>
          <w:sz w:val="26"/>
          <w:szCs w:val="26"/>
          <w:lang w:val="uk-UA"/>
        </w:rPr>
        <w:t>8</w:t>
      </w:r>
      <w:r w:rsidR="00276207">
        <w:rPr>
          <w:sz w:val="26"/>
          <w:szCs w:val="26"/>
          <w:lang w:val="uk-UA"/>
        </w:rPr>
        <w:t>,</w:t>
      </w:r>
      <w:r w:rsidR="005531C9">
        <w:rPr>
          <w:sz w:val="26"/>
          <w:szCs w:val="26"/>
          <w:lang w:val="uk-UA"/>
        </w:rPr>
        <w:t>5</w:t>
      </w:r>
      <w:r w:rsidRPr="001143E3">
        <w:rPr>
          <w:sz w:val="26"/>
          <w:szCs w:val="26"/>
          <w:lang w:val="uk-UA"/>
        </w:rPr>
        <w:t xml:space="preserve"> тис. грн. ( 5,</w:t>
      </w:r>
      <w:r w:rsidR="004A6393">
        <w:rPr>
          <w:sz w:val="26"/>
          <w:szCs w:val="26"/>
          <w:lang w:val="uk-UA"/>
        </w:rPr>
        <w:t>0</w:t>
      </w:r>
      <w:r w:rsidRPr="001143E3">
        <w:rPr>
          <w:sz w:val="26"/>
          <w:szCs w:val="26"/>
          <w:lang w:val="uk-UA"/>
        </w:rPr>
        <w:t xml:space="preserve"> % );</w:t>
      </w:r>
      <w:r w:rsidRPr="001143E3">
        <w:rPr>
          <w:sz w:val="26"/>
          <w:szCs w:val="26"/>
          <w:lang w:val="uk-UA"/>
        </w:rPr>
        <w:cr/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Pr="001143E3">
        <w:rPr>
          <w:sz w:val="26"/>
          <w:szCs w:val="26"/>
          <w:lang w:val="uk-UA"/>
        </w:rPr>
        <w:t xml:space="preserve">- </w:t>
      </w:r>
      <w:r w:rsidRPr="001E6735">
        <w:rPr>
          <w:b/>
          <w:sz w:val="26"/>
          <w:szCs w:val="26"/>
          <w:lang w:val="uk-UA"/>
        </w:rPr>
        <w:t>культура та мистецтво</w:t>
      </w:r>
      <w:r w:rsidRPr="001143E3">
        <w:rPr>
          <w:sz w:val="26"/>
          <w:szCs w:val="26"/>
          <w:lang w:val="uk-UA"/>
        </w:rPr>
        <w:t xml:space="preserve">  – </w:t>
      </w:r>
      <w:r w:rsidR="005531C9">
        <w:rPr>
          <w:sz w:val="26"/>
          <w:szCs w:val="26"/>
          <w:lang w:val="uk-UA"/>
        </w:rPr>
        <w:t>11 364,2</w:t>
      </w:r>
      <w:r w:rsidRPr="001143E3">
        <w:rPr>
          <w:sz w:val="26"/>
          <w:szCs w:val="26"/>
          <w:lang w:val="uk-UA"/>
        </w:rPr>
        <w:t xml:space="preserve"> тис.  грн. (3,</w:t>
      </w:r>
      <w:r w:rsidR="00421EBE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 xml:space="preserve"> </w:t>
      </w:r>
      <w:r w:rsidRPr="001143E3">
        <w:rPr>
          <w:sz w:val="26"/>
          <w:szCs w:val="26"/>
          <w:lang w:val="uk-UA"/>
        </w:rPr>
        <w:t>% );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2F6052" w:rsidRDefault="00C71180" w:rsidP="00C71180">
      <w:pPr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     - </w:t>
      </w:r>
      <w:r w:rsidRPr="001E6735">
        <w:rPr>
          <w:b/>
          <w:sz w:val="26"/>
          <w:szCs w:val="26"/>
          <w:lang w:val="uk-UA"/>
        </w:rPr>
        <w:t xml:space="preserve">інші </w:t>
      </w:r>
      <w:r w:rsidR="00276207">
        <w:rPr>
          <w:b/>
          <w:sz w:val="26"/>
          <w:szCs w:val="26"/>
          <w:lang w:val="uk-UA"/>
        </w:rPr>
        <w:t>послуги</w:t>
      </w:r>
      <w:r w:rsidRPr="001E6735">
        <w:rPr>
          <w:b/>
          <w:sz w:val="26"/>
          <w:szCs w:val="26"/>
          <w:lang w:val="uk-UA"/>
        </w:rPr>
        <w:t>, пов'язані</w:t>
      </w:r>
      <w:r w:rsidRPr="001143E3">
        <w:rPr>
          <w:sz w:val="26"/>
          <w:szCs w:val="26"/>
          <w:lang w:val="uk-UA"/>
        </w:rPr>
        <w:t xml:space="preserve"> </w:t>
      </w:r>
      <w:r w:rsidRPr="001E6735">
        <w:rPr>
          <w:b/>
          <w:sz w:val="26"/>
          <w:szCs w:val="26"/>
          <w:lang w:val="uk-UA"/>
        </w:rPr>
        <w:t>з економічною діяльністю</w:t>
      </w:r>
      <w:r w:rsidRPr="001143E3">
        <w:rPr>
          <w:sz w:val="26"/>
          <w:szCs w:val="26"/>
          <w:lang w:val="uk-UA"/>
        </w:rPr>
        <w:t xml:space="preserve"> – </w:t>
      </w:r>
      <w:r w:rsidR="005531C9">
        <w:rPr>
          <w:sz w:val="26"/>
          <w:szCs w:val="26"/>
          <w:lang w:val="uk-UA"/>
        </w:rPr>
        <w:t>6 718,7</w:t>
      </w:r>
      <w:r w:rsidRPr="001143E3">
        <w:rPr>
          <w:sz w:val="26"/>
          <w:szCs w:val="26"/>
          <w:lang w:val="uk-UA"/>
        </w:rPr>
        <w:t xml:space="preserve"> тис. грн. (</w:t>
      </w:r>
      <w:r>
        <w:rPr>
          <w:sz w:val="26"/>
          <w:szCs w:val="26"/>
          <w:lang w:val="uk-UA"/>
        </w:rPr>
        <w:t>1,</w:t>
      </w:r>
      <w:r w:rsidR="00421EBE">
        <w:rPr>
          <w:sz w:val="26"/>
          <w:szCs w:val="26"/>
          <w:lang w:val="uk-UA"/>
        </w:rPr>
        <w:t>8</w:t>
      </w:r>
      <w:r w:rsidRPr="001143E3">
        <w:rPr>
          <w:sz w:val="26"/>
          <w:szCs w:val="26"/>
          <w:lang w:val="uk-UA"/>
        </w:rPr>
        <w:t xml:space="preserve"> %),  </w:t>
      </w:r>
      <w:r w:rsidRPr="002F6052">
        <w:rPr>
          <w:sz w:val="26"/>
          <w:szCs w:val="26"/>
          <w:lang w:val="uk-UA"/>
        </w:rPr>
        <w:t>із яких:</w:t>
      </w:r>
    </w:p>
    <w:p w:rsidR="00C71180" w:rsidRPr="002F6052" w:rsidRDefault="00C71180" w:rsidP="00C71180">
      <w:pPr>
        <w:jc w:val="both"/>
        <w:rPr>
          <w:sz w:val="26"/>
          <w:szCs w:val="26"/>
          <w:lang w:val="uk-UA"/>
        </w:rPr>
      </w:pPr>
      <w:r w:rsidRPr="002F6052">
        <w:rPr>
          <w:sz w:val="26"/>
          <w:szCs w:val="26"/>
          <w:lang w:val="uk-UA"/>
        </w:rPr>
        <w:lastRenderedPageBreak/>
        <w:t xml:space="preserve">     - надано фінансову підтримку комунальним підприємствам :</w:t>
      </w:r>
    </w:p>
    <w:p w:rsidR="00C71180" w:rsidRPr="002F6052" w:rsidRDefault="00C71180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2F6052">
        <w:rPr>
          <w:sz w:val="26"/>
          <w:szCs w:val="26"/>
          <w:lang w:val="uk-UA"/>
        </w:rPr>
        <w:t>"</w:t>
      </w:r>
      <w:proofErr w:type="spellStart"/>
      <w:r w:rsidRPr="002F6052">
        <w:rPr>
          <w:sz w:val="26"/>
          <w:szCs w:val="26"/>
          <w:lang w:val="uk-UA"/>
        </w:rPr>
        <w:t>Чорноморськводоканал</w:t>
      </w:r>
      <w:proofErr w:type="spellEnd"/>
      <w:r w:rsidRPr="002F6052">
        <w:rPr>
          <w:sz w:val="26"/>
          <w:szCs w:val="26"/>
          <w:lang w:val="uk-UA"/>
        </w:rPr>
        <w:t>" - 2 000,0 тис. грн.;</w:t>
      </w:r>
    </w:p>
    <w:p w:rsidR="00C71180" w:rsidRPr="002F6052" w:rsidRDefault="00C71180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2F6052">
        <w:rPr>
          <w:sz w:val="26"/>
          <w:szCs w:val="26"/>
          <w:lang w:val="uk-UA"/>
        </w:rPr>
        <w:t>"</w:t>
      </w:r>
      <w:proofErr w:type="spellStart"/>
      <w:r w:rsidRPr="002F6052">
        <w:rPr>
          <w:sz w:val="26"/>
          <w:szCs w:val="26"/>
          <w:lang w:val="uk-UA"/>
        </w:rPr>
        <w:t>Чорноморськтеплоенерго</w:t>
      </w:r>
      <w:proofErr w:type="spellEnd"/>
      <w:r w:rsidRPr="002F6052">
        <w:rPr>
          <w:sz w:val="26"/>
          <w:szCs w:val="26"/>
          <w:lang w:val="uk-UA"/>
        </w:rPr>
        <w:t xml:space="preserve">" - </w:t>
      </w:r>
      <w:r w:rsidR="00276207">
        <w:rPr>
          <w:sz w:val="26"/>
          <w:szCs w:val="26"/>
          <w:lang w:val="uk-UA"/>
        </w:rPr>
        <w:t>2 000,0</w:t>
      </w:r>
      <w:r w:rsidRPr="002F6052">
        <w:rPr>
          <w:sz w:val="26"/>
          <w:szCs w:val="26"/>
          <w:lang w:val="uk-UA"/>
        </w:rPr>
        <w:t xml:space="preserve"> тис. грн.;</w:t>
      </w:r>
    </w:p>
    <w:p w:rsidR="00C71180" w:rsidRDefault="00C71180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2F6052">
        <w:rPr>
          <w:sz w:val="26"/>
          <w:szCs w:val="26"/>
          <w:lang w:val="uk-UA"/>
        </w:rPr>
        <w:t xml:space="preserve">"Муніципальна охорона" – </w:t>
      </w:r>
      <w:r w:rsidR="00C85E3B">
        <w:rPr>
          <w:sz w:val="26"/>
          <w:szCs w:val="26"/>
          <w:lang w:val="uk-UA"/>
        </w:rPr>
        <w:t>1 213,1</w:t>
      </w:r>
      <w:r w:rsidRPr="002F6052">
        <w:rPr>
          <w:sz w:val="26"/>
          <w:szCs w:val="26"/>
          <w:lang w:val="uk-UA"/>
        </w:rPr>
        <w:t xml:space="preserve"> тис. грн.</w:t>
      </w:r>
    </w:p>
    <w:p w:rsidR="005531C9" w:rsidRPr="002F6052" w:rsidRDefault="005531C9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"</w:t>
      </w:r>
      <w:r w:rsidRPr="002F6052">
        <w:rPr>
          <w:sz w:val="26"/>
          <w:szCs w:val="26"/>
          <w:lang w:val="uk-UA"/>
        </w:rPr>
        <w:t>Міському</w:t>
      </w:r>
      <w:r w:rsidR="00C85E3B">
        <w:rPr>
          <w:sz w:val="26"/>
          <w:szCs w:val="26"/>
          <w:lang w:val="uk-UA"/>
        </w:rPr>
        <w:t xml:space="preserve"> </w:t>
      </w:r>
      <w:proofErr w:type="spellStart"/>
      <w:r w:rsidRPr="002F6052">
        <w:rPr>
          <w:sz w:val="26"/>
          <w:szCs w:val="26"/>
          <w:lang w:val="uk-UA"/>
        </w:rPr>
        <w:t>управлінню-житлово</w:t>
      </w:r>
      <w:proofErr w:type="spellEnd"/>
      <w:r w:rsidR="00C85E3B">
        <w:rPr>
          <w:sz w:val="26"/>
          <w:szCs w:val="26"/>
          <w:lang w:val="uk-UA"/>
        </w:rPr>
        <w:t xml:space="preserve"> </w:t>
      </w:r>
      <w:r w:rsidRPr="002F6052">
        <w:rPr>
          <w:sz w:val="26"/>
          <w:szCs w:val="26"/>
          <w:lang w:val="uk-UA"/>
        </w:rPr>
        <w:t>комунального господарства</w:t>
      </w:r>
      <w:r w:rsidR="00C85E3B">
        <w:rPr>
          <w:sz w:val="26"/>
          <w:szCs w:val="26"/>
          <w:lang w:val="uk-UA"/>
        </w:rPr>
        <w:t xml:space="preserve">" -      499,7 </w:t>
      </w:r>
      <w:proofErr w:type="spellStart"/>
      <w:r w:rsidR="00C85E3B">
        <w:rPr>
          <w:sz w:val="26"/>
          <w:szCs w:val="26"/>
          <w:lang w:val="uk-UA"/>
        </w:rPr>
        <w:t>тис.грн</w:t>
      </w:r>
      <w:proofErr w:type="spellEnd"/>
      <w:r w:rsidR="00C85E3B">
        <w:rPr>
          <w:sz w:val="26"/>
          <w:szCs w:val="26"/>
          <w:lang w:val="uk-UA"/>
        </w:rPr>
        <w:t>.</w:t>
      </w:r>
    </w:p>
    <w:p w:rsidR="00C71180" w:rsidRPr="002F6052" w:rsidRDefault="00C71180" w:rsidP="00C71180">
      <w:pPr>
        <w:pStyle w:val="a6"/>
        <w:spacing w:line="276" w:lineRule="auto"/>
        <w:ind w:left="0" w:firstLine="284"/>
        <w:jc w:val="both"/>
        <w:rPr>
          <w:sz w:val="26"/>
          <w:szCs w:val="26"/>
          <w:lang w:val="uk-UA"/>
        </w:rPr>
      </w:pPr>
      <w:r w:rsidRPr="002F6052">
        <w:rPr>
          <w:sz w:val="26"/>
          <w:szCs w:val="26"/>
          <w:lang w:val="uk-UA"/>
        </w:rPr>
        <w:t>- здійснені внески до статутного капіталу комунальним підприємствам на придбання основних фондів:</w:t>
      </w:r>
    </w:p>
    <w:p w:rsidR="00C71180" w:rsidRPr="002F6052" w:rsidRDefault="00C71180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2F6052">
        <w:rPr>
          <w:sz w:val="26"/>
          <w:szCs w:val="26"/>
          <w:lang w:val="uk-UA"/>
        </w:rPr>
        <w:t xml:space="preserve">Міському управлінню-житлово комунального господарства -                     </w:t>
      </w:r>
      <w:r w:rsidR="00C85E3B">
        <w:rPr>
          <w:sz w:val="26"/>
          <w:szCs w:val="26"/>
          <w:lang w:val="uk-UA"/>
        </w:rPr>
        <w:t>747,4</w:t>
      </w:r>
      <w:r w:rsidRPr="002F6052">
        <w:rPr>
          <w:sz w:val="26"/>
          <w:szCs w:val="26"/>
          <w:lang w:val="uk-UA"/>
        </w:rPr>
        <w:t xml:space="preserve"> тис. грн.;</w:t>
      </w:r>
    </w:p>
    <w:p w:rsidR="00C71180" w:rsidRPr="002F6052" w:rsidRDefault="00C71180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2F6052">
        <w:rPr>
          <w:sz w:val="26"/>
          <w:szCs w:val="26"/>
          <w:lang w:val="uk-UA"/>
        </w:rPr>
        <w:t>"</w:t>
      </w:r>
      <w:proofErr w:type="spellStart"/>
      <w:r w:rsidRPr="002F6052">
        <w:rPr>
          <w:sz w:val="26"/>
          <w:szCs w:val="26"/>
          <w:lang w:val="uk-UA"/>
        </w:rPr>
        <w:t>Зеленгосп</w:t>
      </w:r>
      <w:proofErr w:type="spellEnd"/>
      <w:r w:rsidRPr="002F6052">
        <w:rPr>
          <w:sz w:val="26"/>
          <w:szCs w:val="26"/>
          <w:lang w:val="uk-UA"/>
        </w:rPr>
        <w:t>" - 216,0 тис. грн.</w:t>
      </w:r>
    </w:p>
    <w:p w:rsidR="00C71180" w:rsidRPr="002F6052" w:rsidRDefault="00C71180" w:rsidP="00C71180">
      <w:pPr>
        <w:pStyle w:val="a6"/>
        <w:spacing w:line="276" w:lineRule="auto"/>
        <w:ind w:left="0" w:firstLine="284"/>
        <w:jc w:val="both"/>
        <w:rPr>
          <w:sz w:val="26"/>
          <w:szCs w:val="26"/>
          <w:lang w:val="uk-UA"/>
        </w:rPr>
      </w:pPr>
      <w:r w:rsidRPr="002F6052">
        <w:rPr>
          <w:sz w:val="26"/>
          <w:szCs w:val="26"/>
          <w:lang w:val="uk-UA"/>
        </w:rPr>
        <w:t xml:space="preserve">- на проведення відшкодування населенню відсотків за кредитами в рамках Програми енергозбереження та енергоефективності м. Чорноморська на 2015 - 2018 роки - </w:t>
      </w:r>
      <w:r w:rsidR="005531C9">
        <w:rPr>
          <w:sz w:val="26"/>
          <w:szCs w:val="26"/>
          <w:lang w:val="uk-UA"/>
        </w:rPr>
        <w:t>42,5</w:t>
      </w:r>
      <w:r w:rsidRPr="002F6052">
        <w:rPr>
          <w:sz w:val="26"/>
          <w:szCs w:val="26"/>
          <w:lang w:val="uk-UA"/>
        </w:rPr>
        <w:t xml:space="preserve"> тис. грн. ( отримали таке відшкодування - </w:t>
      </w:r>
      <w:r w:rsidR="008B2C45">
        <w:rPr>
          <w:sz w:val="26"/>
          <w:szCs w:val="26"/>
          <w:lang w:val="uk-UA"/>
        </w:rPr>
        <w:t>60</w:t>
      </w:r>
      <w:r w:rsidRPr="002F6052">
        <w:rPr>
          <w:sz w:val="26"/>
          <w:szCs w:val="26"/>
          <w:lang w:val="uk-UA"/>
        </w:rPr>
        <w:t xml:space="preserve"> громадянина).</w:t>
      </w:r>
    </w:p>
    <w:p w:rsidR="00C71180" w:rsidRPr="001143E3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E61C06" w:rsidRDefault="00C71180" w:rsidP="00C71180">
      <w:pPr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     </w:t>
      </w:r>
      <w:r w:rsidRPr="00E61C06">
        <w:rPr>
          <w:sz w:val="26"/>
          <w:szCs w:val="26"/>
          <w:lang w:val="uk-UA"/>
        </w:rPr>
        <w:t xml:space="preserve">- </w:t>
      </w:r>
      <w:r w:rsidRPr="00E61C06">
        <w:rPr>
          <w:b/>
          <w:sz w:val="26"/>
          <w:szCs w:val="26"/>
          <w:lang w:val="uk-UA"/>
        </w:rPr>
        <w:t>субвенція з міського бюджету державному бюджету</w:t>
      </w:r>
      <w:r w:rsidRPr="00E61C06">
        <w:rPr>
          <w:sz w:val="26"/>
          <w:szCs w:val="26"/>
          <w:lang w:val="uk-UA"/>
        </w:rPr>
        <w:t xml:space="preserve">  на виконання  програм  соціально - економічного  та  культурного розвитку - </w:t>
      </w:r>
      <w:r w:rsidR="00E71913">
        <w:rPr>
          <w:sz w:val="26"/>
          <w:szCs w:val="26"/>
          <w:lang w:val="uk-UA"/>
        </w:rPr>
        <w:t xml:space="preserve">10 </w:t>
      </w:r>
      <w:r w:rsidR="004A0175">
        <w:rPr>
          <w:sz w:val="26"/>
          <w:szCs w:val="26"/>
          <w:lang w:val="uk-UA"/>
        </w:rPr>
        <w:t>130,8</w:t>
      </w:r>
      <w:r w:rsidRPr="00E61C06">
        <w:rPr>
          <w:sz w:val="26"/>
          <w:szCs w:val="26"/>
          <w:lang w:val="uk-UA"/>
        </w:rPr>
        <w:t xml:space="preserve"> тис. грн. ( </w:t>
      </w:r>
      <w:r w:rsidR="004A6393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,</w:t>
      </w:r>
      <w:r w:rsidR="004A6393">
        <w:rPr>
          <w:sz w:val="26"/>
          <w:szCs w:val="26"/>
          <w:lang w:val="uk-UA"/>
        </w:rPr>
        <w:t>7</w:t>
      </w:r>
      <w:r w:rsidRPr="00E61C06">
        <w:rPr>
          <w:sz w:val="26"/>
          <w:szCs w:val="26"/>
          <w:lang w:val="uk-UA"/>
        </w:rPr>
        <w:t xml:space="preserve"> % ),  які             профінансовані :</w:t>
      </w:r>
    </w:p>
    <w:p w:rsidR="00C71180" w:rsidRPr="00E61C06" w:rsidRDefault="00C71180" w:rsidP="00C71180">
      <w:pPr>
        <w:pStyle w:val="a6"/>
        <w:numPr>
          <w:ilvl w:val="0"/>
          <w:numId w:val="7"/>
        </w:numPr>
        <w:spacing w:line="276" w:lineRule="auto"/>
        <w:ind w:left="1134" w:firstLine="0"/>
        <w:jc w:val="both"/>
        <w:rPr>
          <w:sz w:val="26"/>
          <w:szCs w:val="26"/>
          <w:lang w:val="uk-UA"/>
        </w:rPr>
      </w:pPr>
      <w:r w:rsidRPr="00E61C06">
        <w:rPr>
          <w:sz w:val="26"/>
          <w:szCs w:val="26"/>
          <w:lang w:val="uk-UA"/>
        </w:rPr>
        <w:t xml:space="preserve">головному управлінню державної служби надзвичайних ситуацій -                    1 </w:t>
      </w:r>
      <w:r w:rsidR="004A0175">
        <w:rPr>
          <w:sz w:val="26"/>
          <w:szCs w:val="26"/>
          <w:lang w:val="uk-UA"/>
        </w:rPr>
        <w:t>3</w:t>
      </w:r>
      <w:r w:rsidR="0029187C">
        <w:rPr>
          <w:sz w:val="26"/>
          <w:szCs w:val="26"/>
          <w:lang w:val="uk-UA"/>
        </w:rPr>
        <w:t>28,2</w:t>
      </w:r>
      <w:r w:rsidRPr="00E61C06">
        <w:rPr>
          <w:sz w:val="26"/>
          <w:szCs w:val="26"/>
          <w:lang w:val="uk-UA"/>
        </w:rPr>
        <w:t xml:space="preserve"> </w:t>
      </w:r>
      <w:proofErr w:type="spellStart"/>
      <w:r w:rsidRPr="00E61C06">
        <w:rPr>
          <w:sz w:val="26"/>
          <w:szCs w:val="26"/>
          <w:lang w:val="uk-UA"/>
        </w:rPr>
        <w:t>тис.грн</w:t>
      </w:r>
      <w:proofErr w:type="spellEnd"/>
      <w:r w:rsidRPr="00E61C06">
        <w:rPr>
          <w:sz w:val="26"/>
          <w:szCs w:val="26"/>
          <w:lang w:val="uk-UA"/>
        </w:rPr>
        <w:t>.,</w:t>
      </w:r>
    </w:p>
    <w:p w:rsidR="00C71180" w:rsidRDefault="00C71180" w:rsidP="00C71180">
      <w:pPr>
        <w:pStyle w:val="a6"/>
        <w:numPr>
          <w:ilvl w:val="0"/>
          <w:numId w:val="7"/>
        </w:numPr>
        <w:ind w:left="1134" w:firstLine="0"/>
        <w:jc w:val="both"/>
        <w:rPr>
          <w:sz w:val="26"/>
          <w:szCs w:val="26"/>
          <w:lang w:val="uk-UA"/>
        </w:rPr>
      </w:pPr>
      <w:r w:rsidRPr="00E61C06">
        <w:rPr>
          <w:sz w:val="26"/>
          <w:szCs w:val="26"/>
          <w:lang w:val="uk-UA"/>
        </w:rPr>
        <w:t xml:space="preserve">державному закладу "Іллічівська басейнова лікарня на водному транспорті"  -   </w:t>
      </w:r>
      <w:r w:rsidR="0029187C">
        <w:rPr>
          <w:sz w:val="26"/>
          <w:szCs w:val="26"/>
          <w:lang w:val="uk-UA"/>
        </w:rPr>
        <w:t xml:space="preserve">8 </w:t>
      </w:r>
      <w:r w:rsidR="004A0175">
        <w:rPr>
          <w:sz w:val="26"/>
          <w:szCs w:val="26"/>
          <w:lang w:val="uk-UA"/>
        </w:rPr>
        <w:t>290</w:t>
      </w:r>
      <w:r w:rsidRPr="00E61C06">
        <w:rPr>
          <w:sz w:val="26"/>
          <w:szCs w:val="26"/>
          <w:lang w:val="uk-UA"/>
        </w:rPr>
        <w:t>,</w:t>
      </w:r>
      <w:r w:rsidR="004A0175">
        <w:rPr>
          <w:sz w:val="26"/>
          <w:szCs w:val="26"/>
          <w:lang w:val="uk-UA"/>
        </w:rPr>
        <w:t>1</w:t>
      </w:r>
      <w:r w:rsidRPr="00E61C06">
        <w:rPr>
          <w:sz w:val="26"/>
          <w:szCs w:val="26"/>
          <w:lang w:val="uk-UA"/>
        </w:rPr>
        <w:t xml:space="preserve"> </w:t>
      </w:r>
      <w:proofErr w:type="spellStart"/>
      <w:r w:rsidRPr="00E61C06">
        <w:rPr>
          <w:sz w:val="26"/>
          <w:szCs w:val="26"/>
          <w:lang w:val="uk-UA"/>
        </w:rPr>
        <w:t>тис.грн</w:t>
      </w:r>
      <w:proofErr w:type="spellEnd"/>
      <w:r w:rsidRPr="00E61C06">
        <w:rPr>
          <w:sz w:val="26"/>
          <w:szCs w:val="26"/>
          <w:lang w:val="uk-UA"/>
        </w:rPr>
        <w:t>.,</w:t>
      </w:r>
    </w:p>
    <w:p w:rsidR="00E71913" w:rsidRPr="00E61C06" w:rsidRDefault="00596962" w:rsidP="00C71180">
      <w:pPr>
        <w:pStyle w:val="a6"/>
        <w:numPr>
          <w:ilvl w:val="0"/>
          <w:numId w:val="7"/>
        </w:numPr>
        <w:ind w:left="1134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головному управлінню національної поліції  - 461,0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C71180" w:rsidRDefault="00C71180" w:rsidP="00C71180">
      <w:pPr>
        <w:pStyle w:val="a6"/>
        <w:numPr>
          <w:ilvl w:val="0"/>
          <w:numId w:val="7"/>
        </w:numPr>
        <w:ind w:left="1134" w:firstLine="0"/>
        <w:jc w:val="both"/>
        <w:rPr>
          <w:sz w:val="26"/>
          <w:szCs w:val="26"/>
          <w:lang w:val="uk-UA"/>
        </w:rPr>
      </w:pPr>
      <w:r w:rsidRPr="00E61C06">
        <w:rPr>
          <w:sz w:val="26"/>
          <w:szCs w:val="26"/>
          <w:lang w:val="uk-UA"/>
        </w:rPr>
        <w:t xml:space="preserve">управлінню державної казначейської служби України у </w:t>
      </w:r>
      <w:proofErr w:type="spellStart"/>
      <w:r w:rsidRPr="00E61C06">
        <w:rPr>
          <w:sz w:val="26"/>
          <w:szCs w:val="26"/>
          <w:lang w:val="uk-UA"/>
        </w:rPr>
        <w:t>м.Іллічівську</w:t>
      </w:r>
      <w:proofErr w:type="spellEnd"/>
      <w:r w:rsidRPr="00E61C06">
        <w:rPr>
          <w:sz w:val="26"/>
          <w:szCs w:val="26"/>
          <w:lang w:val="uk-UA"/>
        </w:rPr>
        <w:t xml:space="preserve"> -                  51,5 </w:t>
      </w:r>
      <w:proofErr w:type="spellStart"/>
      <w:r w:rsidRPr="00E61C06">
        <w:rPr>
          <w:sz w:val="26"/>
          <w:szCs w:val="26"/>
          <w:lang w:val="uk-UA"/>
        </w:rPr>
        <w:t>тис.грн</w:t>
      </w:r>
      <w:proofErr w:type="spellEnd"/>
      <w:r w:rsidRPr="00E61C06">
        <w:rPr>
          <w:sz w:val="26"/>
          <w:szCs w:val="26"/>
          <w:lang w:val="uk-UA"/>
        </w:rPr>
        <w:t>.</w:t>
      </w:r>
    </w:p>
    <w:p w:rsidR="00596962" w:rsidRPr="00E61C06" w:rsidRDefault="00596962" w:rsidP="00596962">
      <w:pPr>
        <w:pStyle w:val="a6"/>
        <w:ind w:left="284"/>
        <w:jc w:val="both"/>
        <w:rPr>
          <w:sz w:val="26"/>
          <w:szCs w:val="26"/>
          <w:lang w:val="uk-UA"/>
        </w:rPr>
      </w:pPr>
      <w:r w:rsidRPr="00E61C06">
        <w:rPr>
          <w:sz w:val="26"/>
          <w:szCs w:val="26"/>
          <w:lang w:val="uk-UA"/>
        </w:rPr>
        <w:t xml:space="preserve">- </w:t>
      </w:r>
      <w:r w:rsidRPr="00E61C06">
        <w:rPr>
          <w:b/>
          <w:sz w:val="26"/>
          <w:szCs w:val="26"/>
          <w:lang w:val="uk-UA"/>
        </w:rPr>
        <w:t xml:space="preserve">субвенція </w:t>
      </w:r>
      <w:r>
        <w:rPr>
          <w:b/>
          <w:sz w:val="26"/>
          <w:szCs w:val="26"/>
          <w:lang w:val="uk-UA"/>
        </w:rPr>
        <w:t xml:space="preserve">за рахунок залишку коштів освітньої субвенції з державного бюджету </w:t>
      </w:r>
      <w:r w:rsidRPr="00E61C06">
        <w:rPr>
          <w:b/>
          <w:sz w:val="26"/>
          <w:szCs w:val="26"/>
          <w:lang w:val="uk-UA"/>
        </w:rPr>
        <w:t>міс</w:t>
      </w:r>
      <w:r>
        <w:rPr>
          <w:b/>
          <w:sz w:val="26"/>
          <w:szCs w:val="26"/>
          <w:lang w:val="uk-UA"/>
        </w:rPr>
        <w:t xml:space="preserve">цевим </w:t>
      </w:r>
      <w:r w:rsidRPr="00E61C06">
        <w:rPr>
          <w:b/>
          <w:sz w:val="26"/>
          <w:szCs w:val="26"/>
          <w:lang w:val="uk-UA"/>
        </w:rPr>
        <w:t>бюджет</w:t>
      </w:r>
      <w:r>
        <w:rPr>
          <w:b/>
          <w:sz w:val="26"/>
          <w:szCs w:val="26"/>
          <w:lang w:val="uk-UA"/>
        </w:rPr>
        <w:t xml:space="preserve">ам, що утворилась на початок бюджетного періоду - </w:t>
      </w:r>
      <w:r w:rsidRPr="00596962">
        <w:rPr>
          <w:sz w:val="26"/>
          <w:szCs w:val="26"/>
          <w:lang w:val="uk-UA"/>
        </w:rPr>
        <w:t xml:space="preserve">277,4 </w:t>
      </w:r>
      <w:proofErr w:type="spellStart"/>
      <w:r w:rsidRPr="00596962">
        <w:rPr>
          <w:sz w:val="26"/>
          <w:szCs w:val="26"/>
          <w:lang w:val="uk-UA"/>
        </w:rPr>
        <w:t>тис.грн</w:t>
      </w:r>
      <w:proofErr w:type="spellEnd"/>
      <w:r w:rsidRPr="00596962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( 0,</w:t>
      </w:r>
      <w:r w:rsidR="00421EBE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%)</w:t>
      </w:r>
      <w:r w:rsidRPr="00596962">
        <w:rPr>
          <w:sz w:val="26"/>
          <w:szCs w:val="26"/>
          <w:lang w:val="uk-UA"/>
        </w:rPr>
        <w:t>;</w:t>
      </w:r>
      <w:r w:rsidRPr="00E61C06">
        <w:rPr>
          <w:sz w:val="26"/>
          <w:szCs w:val="26"/>
          <w:lang w:val="uk-UA"/>
        </w:rPr>
        <w:t xml:space="preserve">  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E61C06" w:rsidRDefault="00C71180" w:rsidP="00C71180">
      <w:pPr>
        <w:jc w:val="both"/>
        <w:rPr>
          <w:sz w:val="26"/>
          <w:szCs w:val="26"/>
          <w:lang w:val="uk-UA"/>
        </w:rPr>
      </w:pPr>
      <w:r w:rsidRPr="00E61C06">
        <w:rPr>
          <w:sz w:val="26"/>
          <w:szCs w:val="26"/>
          <w:lang w:val="uk-UA"/>
        </w:rPr>
        <w:t xml:space="preserve">     - </w:t>
      </w:r>
      <w:r w:rsidRPr="00E61C06">
        <w:rPr>
          <w:b/>
          <w:sz w:val="26"/>
          <w:szCs w:val="26"/>
          <w:lang w:val="uk-UA"/>
        </w:rPr>
        <w:t>фізична культура та спорт</w:t>
      </w:r>
      <w:r w:rsidRPr="00E61C06">
        <w:rPr>
          <w:sz w:val="26"/>
          <w:szCs w:val="26"/>
          <w:lang w:val="uk-UA"/>
        </w:rPr>
        <w:t xml:space="preserve"> </w:t>
      </w:r>
      <w:r w:rsidRPr="00E61C06">
        <w:rPr>
          <w:b/>
          <w:sz w:val="26"/>
          <w:szCs w:val="26"/>
          <w:lang w:val="uk-UA"/>
        </w:rPr>
        <w:t xml:space="preserve">– </w:t>
      </w:r>
      <w:r w:rsidR="0029187C">
        <w:rPr>
          <w:sz w:val="26"/>
          <w:szCs w:val="26"/>
          <w:lang w:val="uk-UA"/>
        </w:rPr>
        <w:t xml:space="preserve">2 </w:t>
      </w:r>
      <w:r w:rsidR="005531C9">
        <w:rPr>
          <w:sz w:val="26"/>
          <w:szCs w:val="26"/>
          <w:lang w:val="uk-UA"/>
        </w:rPr>
        <w:t>923,1</w:t>
      </w:r>
      <w:r w:rsidRPr="00E61C06">
        <w:rPr>
          <w:sz w:val="26"/>
          <w:szCs w:val="26"/>
          <w:lang w:val="uk-UA"/>
        </w:rPr>
        <w:t xml:space="preserve"> тис. грн. ( 0,8 % );</w:t>
      </w:r>
    </w:p>
    <w:p w:rsidR="00C71180" w:rsidRPr="00E61C06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E61C06" w:rsidRDefault="00C71180" w:rsidP="00C71180">
      <w:pPr>
        <w:jc w:val="both"/>
        <w:rPr>
          <w:sz w:val="26"/>
          <w:szCs w:val="26"/>
          <w:lang w:val="uk-UA"/>
        </w:rPr>
      </w:pPr>
      <w:r w:rsidRPr="00E61C06">
        <w:rPr>
          <w:sz w:val="26"/>
          <w:szCs w:val="26"/>
          <w:lang w:val="uk-UA"/>
        </w:rPr>
        <w:t xml:space="preserve">     - </w:t>
      </w:r>
      <w:r w:rsidRPr="00E61C06">
        <w:rPr>
          <w:b/>
          <w:sz w:val="26"/>
          <w:szCs w:val="26"/>
          <w:lang w:val="uk-UA"/>
        </w:rPr>
        <w:t>засоби масової інформації</w:t>
      </w:r>
      <w:r w:rsidRPr="00E61C06">
        <w:rPr>
          <w:sz w:val="26"/>
          <w:szCs w:val="26"/>
          <w:lang w:val="uk-UA"/>
        </w:rPr>
        <w:t xml:space="preserve"> –  </w:t>
      </w:r>
      <w:r w:rsidR="005531C9">
        <w:rPr>
          <w:sz w:val="26"/>
          <w:szCs w:val="26"/>
          <w:lang w:val="uk-UA"/>
        </w:rPr>
        <w:t>1 758,6</w:t>
      </w:r>
      <w:r w:rsidRPr="00E61C06">
        <w:rPr>
          <w:sz w:val="26"/>
          <w:szCs w:val="26"/>
          <w:lang w:val="uk-UA"/>
        </w:rPr>
        <w:t xml:space="preserve">  тис. грн. (0,5 % );</w:t>
      </w:r>
    </w:p>
    <w:p w:rsidR="00C71180" w:rsidRPr="00E61C06" w:rsidRDefault="00C71180" w:rsidP="00C71180">
      <w:pPr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E61C06">
        <w:rPr>
          <w:sz w:val="26"/>
          <w:szCs w:val="26"/>
          <w:lang w:val="uk-UA"/>
        </w:rPr>
        <w:t xml:space="preserve">     -</w:t>
      </w:r>
      <w:r w:rsidR="006D6009">
        <w:rPr>
          <w:sz w:val="26"/>
          <w:szCs w:val="26"/>
          <w:lang w:val="uk-UA"/>
        </w:rPr>
        <w:t xml:space="preserve"> </w:t>
      </w:r>
      <w:r w:rsidRPr="00E61C06">
        <w:rPr>
          <w:b/>
          <w:sz w:val="26"/>
          <w:szCs w:val="26"/>
          <w:lang w:val="uk-UA"/>
        </w:rPr>
        <w:t>реверсна дотація</w:t>
      </w:r>
      <w:r w:rsidRPr="00E61C06">
        <w:rPr>
          <w:sz w:val="26"/>
          <w:szCs w:val="26"/>
          <w:lang w:val="uk-UA"/>
        </w:rPr>
        <w:t xml:space="preserve"> (кошти, що перераховані державному бюджету) -                     </w:t>
      </w:r>
      <w:r w:rsidR="004A0175">
        <w:rPr>
          <w:sz w:val="26"/>
          <w:szCs w:val="26"/>
          <w:lang w:val="uk-UA"/>
        </w:rPr>
        <w:t>17 073,0</w:t>
      </w:r>
      <w:r w:rsidRPr="00E61C06">
        <w:rPr>
          <w:sz w:val="26"/>
          <w:szCs w:val="26"/>
          <w:lang w:val="uk-UA"/>
        </w:rPr>
        <w:t xml:space="preserve"> тис. грн.  (4,</w:t>
      </w:r>
      <w:r w:rsidR="004A6393">
        <w:rPr>
          <w:sz w:val="26"/>
          <w:szCs w:val="26"/>
          <w:lang w:val="uk-UA"/>
        </w:rPr>
        <w:t>5</w:t>
      </w:r>
      <w:r w:rsidRPr="00E61C06">
        <w:rPr>
          <w:sz w:val="26"/>
          <w:szCs w:val="26"/>
          <w:lang w:val="uk-UA"/>
        </w:rPr>
        <w:t xml:space="preserve"> %);</w:t>
      </w:r>
    </w:p>
    <w:p w:rsidR="006D6009" w:rsidRDefault="006D6009" w:rsidP="00C71180">
      <w:pPr>
        <w:jc w:val="both"/>
        <w:rPr>
          <w:sz w:val="26"/>
          <w:szCs w:val="26"/>
          <w:lang w:val="uk-UA"/>
        </w:rPr>
      </w:pPr>
    </w:p>
    <w:p w:rsidR="006D6009" w:rsidRPr="00E61C06" w:rsidRDefault="006D6009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- т</w:t>
      </w:r>
      <w:r w:rsidRPr="006D6009">
        <w:rPr>
          <w:b/>
          <w:sz w:val="26"/>
          <w:szCs w:val="26"/>
          <w:lang w:val="uk-UA"/>
        </w:rPr>
        <w:t>ранспорт, дорожнє господарство, зв'язок, телекомунікації та інформатика</w:t>
      </w:r>
      <w:r>
        <w:rPr>
          <w:sz w:val="26"/>
          <w:szCs w:val="26"/>
          <w:lang w:val="uk-UA"/>
        </w:rPr>
        <w:t xml:space="preserve"> -   16 257,0 тис. грн. (4,2%);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B202D4" w:rsidRDefault="00C71180" w:rsidP="00C71180">
      <w:pPr>
        <w:jc w:val="both"/>
        <w:rPr>
          <w:sz w:val="26"/>
          <w:szCs w:val="26"/>
          <w:lang w:val="uk-UA"/>
        </w:rPr>
      </w:pPr>
      <w:r w:rsidRPr="00B202D4">
        <w:rPr>
          <w:sz w:val="26"/>
          <w:szCs w:val="26"/>
          <w:lang w:val="uk-UA"/>
        </w:rPr>
        <w:t xml:space="preserve">     - </w:t>
      </w:r>
      <w:r w:rsidRPr="00B202D4">
        <w:rPr>
          <w:b/>
          <w:sz w:val="26"/>
          <w:szCs w:val="26"/>
          <w:lang w:val="uk-UA"/>
        </w:rPr>
        <w:t>інші видатки</w:t>
      </w:r>
      <w:r w:rsidRPr="00B202D4">
        <w:rPr>
          <w:sz w:val="26"/>
          <w:szCs w:val="26"/>
          <w:lang w:val="uk-UA"/>
        </w:rPr>
        <w:t xml:space="preserve"> – </w:t>
      </w:r>
      <w:r w:rsidR="006D6009">
        <w:rPr>
          <w:sz w:val="26"/>
          <w:szCs w:val="26"/>
          <w:lang w:val="uk-UA"/>
        </w:rPr>
        <w:t>39 232,1</w:t>
      </w:r>
      <w:r w:rsidRPr="00B202D4">
        <w:rPr>
          <w:sz w:val="26"/>
          <w:szCs w:val="26"/>
          <w:lang w:val="uk-UA"/>
        </w:rPr>
        <w:t xml:space="preserve">  тис. грн. (</w:t>
      </w:r>
      <w:r w:rsidR="004A6393">
        <w:rPr>
          <w:sz w:val="26"/>
          <w:szCs w:val="26"/>
          <w:lang w:val="uk-UA"/>
        </w:rPr>
        <w:t>1</w:t>
      </w:r>
      <w:r w:rsidR="006D6009">
        <w:rPr>
          <w:sz w:val="26"/>
          <w:szCs w:val="26"/>
          <w:lang w:val="uk-UA"/>
        </w:rPr>
        <w:t>0</w:t>
      </w:r>
      <w:r w:rsidR="004A6393">
        <w:rPr>
          <w:sz w:val="26"/>
          <w:szCs w:val="26"/>
          <w:lang w:val="uk-UA"/>
        </w:rPr>
        <w:t>,</w:t>
      </w:r>
      <w:r w:rsidR="006D6009">
        <w:rPr>
          <w:sz w:val="26"/>
          <w:szCs w:val="26"/>
          <w:lang w:val="uk-UA"/>
        </w:rPr>
        <w:t>3</w:t>
      </w:r>
      <w:r w:rsidRPr="00B202D4">
        <w:rPr>
          <w:sz w:val="26"/>
          <w:szCs w:val="26"/>
          <w:lang w:val="uk-UA"/>
        </w:rPr>
        <w:t xml:space="preserve"> %).</w:t>
      </w:r>
    </w:p>
    <w:p w:rsidR="008F7023" w:rsidRPr="00D44510" w:rsidRDefault="008F7023" w:rsidP="008F7023">
      <w:pPr>
        <w:jc w:val="both"/>
        <w:rPr>
          <w:lang w:val="uk-UA"/>
        </w:rPr>
      </w:pPr>
      <w:r w:rsidRPr="002C51C8">
        <w:rPr>
          <w:highlight w:val="yellow"/>
          <w:lang w:val="uk-UA"/>
        </w:rPr>
        <w:t xml:space="preserve">     </w:t>
      </w:r>
    </w:p>
    <w:p w:rsidR="00DA61AF" w:rsidRDefault="00DA61AF" w:rsidP="008F7023">
      <w:pPr>
        <w:jc w:val="both"/>
        <w:rPr>
          <w:lang w:val="uk-UA"/>
        </w:rPr>
      </w:pPr>
    </w:p>
    <w:p w:rsidR="00C71180" w:rsidRPr="00B202D4" w:rsidRDefault="00C71180" w:rsidP="00C71180">
      <w:pPr>
        <w:jc w:val="both"/>
        <w:rPr>
          <w:sz w:val="26"/>
          <w:szCs w:val="26"/>
          <w:lang w:val="uk-UA"/>
        </w:rPr>
      </w:pPr>
      <w:r w:rsidRPr="00B202D4">
        <w:rPr>
          <w:sz w:val="26"/>
          <w:szCs w:val="26"/>
          <w:lang w:val="uk-UA"/>
        </w:rPr>
        <w:t xml:space="preserve">     Основними напрямками використання бюджетних ресурсів є забезпечення асигнуваннями витрат на захищені статті, частка яких у видатковій частині загального фонду бюджету міста становить </w:t>
      </w:r>
      <w:r w:rsidR="00BF3AFC">
        <w:rPr>
          <w:sz w:val="26"/>
          <w:szCs w:val="26"/>
          <w:lang w:val="uk-UA"/>
        </w:rPr>
        <w:t>74,8</w:t>
      </w:r>
      <w:r w:rsidRPr="00B202D4">
        <w:rPr>
          <w:sz w:val="26"/>
          <w:szCs w:val="26"/>
          <w:lang w:val="uk-UA"/>
        </w:rPr>
        <w:t xml:space="preserve"> відсотка, або </w:t>
      </w:r>
      <w:r w:rsidR="004A6393">
        <w:rPr>
          <w:sz w:val="26"/>
          <w:szCs w:val="26"/>
          <w:lang w:val="uk-UA"/>
        </w:rPr>
        <w:t>212 196,8</w:t>
      </w:r>
      <w:r w:rsidRPr="00B202D4">
        <w:rPr>
          <w:sz w:val="26"/>
          <w:szCs w:val="26"/>
          <w:lang w:val="uk-UA"/>
        </w:rPr>
        <w:t xml:space="preserve"> тис. гривень із  </w:t>
      </w:r>
      <w:r w:rsidR="004A6393">
        <w:rPr>
          <w:sz w:val="26"/>
          <w:szCs w:val="26"/>
          <w:lang w:val="uk-UA"/>
        </w:rPr>
        <w:t>283 836,3</w:t>
      </w:r>
      <w:r w:rsidRPr="00B202D4">
        <w:rPr>
          <w:sz w:val="26"/>
          <w:szCs w:val="26"/>
          <w:lang w:val="uk-UA"/>
        </w:rPr>
        <w:t xml:space="preserve"> тис. гривень.</w:t>
      </w:r>
    </w:p>
    <w:p w:rsidR="00C71180" w:rsidRDefault="00C71180" w:rsidP="008F7023">
      <w:pPr>
        <w:jc w:val="both"/>
        <w:rPr>
          <w:b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b/>
          <w:sz w:val="26"/>
          <w:szCs w:val="26"/>
          <w:lang w:val="uk-UA"/>
        </w:rPr>
        <w:t xml:space="preserve">     На соціальний захист та соціальне забезпечення (без соціальних субвенцій з державного бюджету) спрямовано </w:t>
      </w:r>
      <w:r w:rsidR="003D4D03">
        <w:rPr>
          <w:b/>
          <w:sz w:val="26"/>
          <w:szCs w:val="26"/>
          <w:lang w:val="uk-UA"/>
        </w:rPr>
        <w:t>27 911,2</w:t>
      </w:r>
      <w:r w:rsidRPr="00193BED">
        <w:rPr>
          <w:b/>
          <w:sz w:val="26"/>
          <w:szCs w:val="26"/>
          <w:lang w:val="uk-UA"/>
        </w:rPr>
        <w:t xml:space="preserve"> тис. грн., що на </w:t>
      </w:r>
      <w:r w:rsidR="00FE3980">
        <w:rPr>
          <w:b/>
          <w:sz w:val="26"/>
          <w:szCs w:val="26"/>
          <w:lang w:val="uk-UA"/>
        </w:rPr>
        <w:t>1</w:t>
      </w:r>
      <w:r w:rsidR="003D4D03">
        <w:rPr>
          <w:b/>
          <w:sz w:val="26"/>
          <w:szCs w:val="26"/>
          <w:lang w:val="uk-UA"/>
        </w:rPr>
        <w:t>4</w:t>
      </w:r>
      <w:r w:rsidR="00FE3980">
        <w:rPr>
          <w:b/>
          <w:sz w:val="26"/>
          <w:szCs w:val="26"/>
          <w:lang w:val="uk-UA"/>
        </w:rPr>
        <w:t xml:space="preserve"> </w:t>
      </w:r>
      <w:r w:rsidR="003D4D03">
        <w:rPr>
          <w:b/>
          <w:sz w:val="26"/>
          <w:szCs w:val="26"/>
          <w:lang w:val="uk-UA"/>
        </w:rPr>
        <w:t>534</w:t>
      </w:r>
      <w:r w:rsidR="00FE3980">
        <w:rPr>
          <w:b/>
          <w:sz w:val="26"/>
          <w:szCs w:val="26"/>
          <w:lang w:val="uk-UA"/>
        </w:rPr>
        <w:t>,9</w:t>
      </w:r>
      <w:r w:rsidRPr="00193BED">
        <w:rPr>
          <w:b/>
          <w:sz w:val="26"/>
          <w:szCs w:val="26"/>
          <w:lang w:val="uk-UA"/>
        </w:rPr>
        <w:t xml:space="preserve"> </w:t>
      </w:r>
      <w:proofErr w:type="spellStart"/>
      <w:r w:rsidRPr="00193BED">
        <w:rPr>
          <w:b/>
          <w:sz w:val="26"/>
          <w:szCs w:val="26"/>
          <w:lang w:val="uk-UA"/>
        </w:rPr>
        <w:t>тис.грн</w:t>
      </w:r>
      <w:proofErr w:type="spellEnd"/>
      <w:r w:rsidRPr="00193BED">
        <w:rPr>
          <w:b/>
          <w:sz w:val="26"/>
          <w:szCs w:val="26"/>
          <w:lang w:val="uk-UA"/>
        </w:rPr>
        <w:t xml:space="preserve">. </w:t>
      </w:r>
      <w:r w:rsidRPr="00193BED">
        <w:rPr>
          <w:b/>
          <w:sz w:val="26"/>
          <w:szCs w:val="26"/>
          <w:lang w:val="uk-UA"/>
        </w:rPr>
        <w:lastRenderedPageBreak/>
        <w:t>більше проведених видатків за аналогічний період минулого року, або                        в 2 рази.</w:t>
      </w:r>
    </w:p>
    <w:p w:rsidR="00C71180" w:rsidRPr="002F6052" w:rsidRDefault="00C71180" w:rsidP="00C71180">
      <w:pPr>
        <w:jc w:val="center"/>
        <w:rPr>
          <w:sz w:val="26"/>
          <w:szCs w:val="26"/>
          <w:highlight w:val="yellow"/>
          <w:lang w:val="uk-UA"/>
        </w:rPr>
      </w:pPr>
    </w:p>
    <w:p w:rsidR="00C71180" w:rsidRPr="00193BED" w:rsidRDefault="00C71180" w:rsidP="00C71180">
      <w:pPr>
        <w:jc w:val="center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>Зокрема, виділені кошти використані  за наступними напрямками: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безкоштовне харчування дітей з малозабезпечених сімей та  учнів 1-4 класів -                        </w:t>
      </w:r>
      <w:r w:rsidR="00BF3AFC">
        <w:rPr>
          <w:sz w:val="26"/>
          <w:szCs w:val="26"/>
          <w:lang w:val="uk-UA"/>
        </w:rPr>
        <w:t>3 621,1</w:t>
      </w:r>
      <w:r w:rsidRPr="00193BED">
        <w:rPr>
          <w:sz w:val="26"/>
          <w:szCs w:val="26"/>
          <w:lang w:val="uk-UA"/>
        </w:rPr>
        <w:t xml:space="preserve">  тис. 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фруктові вітамінізіровані сніданки (яблуко) для учнів 1-4 класів - </w:t>
      </w:r>
      <w:r w:rsidR="00BF3AFC">
        <w:rPr>
          <w:sz w:val="26"/>
          <w:szCs w:val="26"/>
          <w:lang w:val="uk-UA"/>
        </w:rPr>
        <w:t>548,5</w:t>
      </w:r>
      <w:r w:rsidRPr="00193BED">
        <w:rPr>
          <w:sz w:val="26"/>
          <w:szCs w:val="26"/>
          <w:lang w:val="uk-UA"/>
        </w:rPr>
        <w:t xml:space="preserve"> тис. 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  <w:r w:rsidRPr="002F6052">
        <w:rPr>
          <w:sz w:val="26"/>
          <w:szCs w:val="26"/>
          <w:highlight w:val="yellow"/>
          <w:lang w:val="uk-UA"/>
        </w:rPr>
        <w:t xml:space="preserve">   </w:t>
      </w: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надання щомісячної адресної матеріальної допомоги ветеранам педагогічної та медичної праці  - </w:t>
      </w:r>
      <w:r w:rsidR="00FE3980">
        <w:rPr>
          <w:sz w:val="26"/>
          <w:szCs w:val="26"/>
          <w:lang w:val="uk-UA"/>
        </w:rPr>
        <w:t>4</w:t>
      </w:r>
      <w:r w:rsidR="003D4D03">
        <w:rPr>
          <w:sz w:val="26"/>
          <w:szCs w:val="26"/>
          <w:lang w:val="uk-UA"/>
        </w:rPr>
        <w:t>6</w:t>
      </w:r>
      <w:r w:rsidR="00FE3980">
        <w:rPr>
          <w:sz w:val="26"/>
          <w:szCs w:val="26"/>
          <w:lang w:val="uk-UA"/>
        </w:rPr>
        <w:t>2,</w:t>
      </w:r>
      <w:r w:rsidR="003D4D03">
        <w:rPr>
          <w:sz w:val="26"/>
          <w:szCs w:val="26"/>
          <w:lang w:val="uk-UA"/>
        </w:rPr>
        <w:t>4</w:t>
      </w:r>
      <w:r w:rsidRPr="00193BED">
        <w:rPr>
          <w:sz w:val="26"/>
          <w:szCs w:val="26"/>
          <w:lang w:val="uk-UA"/>
        </w:rPr>
        <w:t xml:space="preserve"> тис. 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>- надання одноразової допомоги учасникам бойових дій в Афганістані  -                           187,7 тис. грн.;</w:t>
      </w:r>
    </w:p>
    <w:p w:rsidR="00EB1FD1" w:rsidRDefault="00EB1FD1" w:rsidP="00C71180">
      <w:pPr>
        <w:jc w:val="both"/>
        <w:rPr>
          <w:sz w:val="26"/>
          <w:szCs w:val="26"/>
          <w:lang w:val="uk-UA"/>
        </w:rPr>
      </w:pPr>
    </w:p>
    <w:p w:rsidR="00EB1FD1" w:rsidRPr="00193BED" w:rsidRDefault="00EB1FD1" w:rsidP="00EB1FD1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надання одноразової допомоги </w:t>
      </w:r>
      <w:r>
        <w:rPr>
          <w:sz w:val="26"/>
          <w:szCs w:val="26"/>
          <w:lang w:val="uk-UA"/>
        </w:rPr>
        <w:t>багатодітним сім'ям</w:t>
      </w:r>
      <w:r w:rsidRPr="00193BED">
        <w:rPr>
          <w:sz w:val="26"/>
          <w:szCs w:val="26"/>
          <w:lang w:val="uk-UA"/>
        </w:rPr>
        <w:t xml:space="preserve">  -      </w:t>
      </w:r>
      <w:r>
        <w:rPr>
          <w:sz w:val="26"/>
          <w:szCs w:val="26"/>
          <w:lang w:val="uk-UA"/>
        </w:rPr>
        <w:t>109,6</w:t>
      </w:r>
      <w:r w:rsidRPr="00193BED">
        <w:rPr>
          <w:sz w:val="26"/>
          <w:szCs w:val="26"/>
          <w:lang w:val="uk-UA"/>
        </w:rPr>
        <w:t xml:space="preserve"> тис. грн.;</w:t>
      </w:r>
    </w:p>
    <w:p w:rsidR="00EB1FD1" w:rsidRPr="00193BED" w:rsidRDefault="00EB1FD1" w:rsidP="00C71180">
      <w:pPr>
        <w:jc w:val="both"/>
        <w:rPr>
          <w:sz w:val="26"/>
          <w:szCs w:val="26"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потребують сторонньої допомоги - </w:t>
      </w:r>
      <w:r w:rsidR="003D4D03">
        <w:rPr>
          <w:sz w:val="26"/>
          <w:szCs w:val="26"/>
          <w:lang w:val="uk-UA"/>
        </w:rPr>
        <w:t>310,8</w:t>
      </w:r>
      <w:r w:rsidRPr="00193BED">
        <w:rPr>
          <w:sz w:val="26"/>
          <w:szCs w:val="26"/>
          <w:lang w:val="uk-UA"/>
        </w:rPr>
        <w:t xml:space="preserve"> тис. 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надання пільг за житлово-комунальні послуги інвалідам по зору та Почесним громадянам міста - </w:t>
      </w:r>
      <w:r w:rsidR="003D4D03">
        <w:rPr>
          <w:sz w:val="26"/>
          <w:szCs w:val="26"/>
          <w:lang w:val="uk-UA"/>
        </w:rPr>
        <w:t>287,6</w:t>
      </w:r>
      <w:r w:rsidRPr="00193BED">
        <w:rPr>
          <w:sz w:val="26"/>
          <w:szCs w:val="26"/>
          <w:lang w:val="uk-UA"/>
        </w:rPr>
        <w:t xml:space="preserve"> тис. грн.;</w:t>
      </w: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надання малозабезпеченим верствам населення міста адресної допомоги, адресної соціальної доплати, додаткових соціальних гарантій  з утримання будинків та прибудинкових територій - </w:t>
      </w:r>
      <w:r w:rsidR="003D4D03">
        <w:rPr>
          <w:sz w:val="26"/>
          <w:szCs w:val="26"/>
          <w:lang w:val="uk-UA"/>
        </w:rPr>
        <w:t>11 358,9</w:t>
      </w:r>
      <w:r w:rsidRPr="00193BED">
        <w:rPr>
          <w:sz w:val="26"/>
          <w:szCs w:val="26"/>
          <w:lang w:val="uk-UA"/>
        </w:rPr>
        <w:t xml:space="preserve"> тис. грн.; 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забезпечення безкоштовними медикаментами пільгової категорії громадян -               </w:t>
      </w:r>
      <w:r w:rsidR="00FE3980">
        <w:rPr>
          <w:sz w:val="26"/>
          <w:szCs w:val="26"/>
          <w:lang w:val="uk-UA"/>
        </w:rPr>
        <w:t>29</w:t>
      </w:r>
      <w:r w:rsidR="003D4D03">
        <w:rPr>
          <w:sz w:val="26"/>
          <w:szCs w:val="26"/>
          <w:lang w:val="uk-UA"/>
        </w:rPr>
        <w:t>6</w:t>
      </w:r>
      <w:r w:rsidR="00FE3980">
        <w:rPr>
          <w:sz w:val="26"/>
          <w:szCs w:val="26"/>
          <w:lang w:val="uk-UA"/>
        </w:rPr>
        <w:t>,</w:t>
      </w:r>
      <w:r w:rsidR="003D4D03">
        <w:rPr>
          <w:sz w:val="26"/>
          <w:szCs w:val="26"/>
          <w:lang w:val="uk-UA"/>
        </w:rPr>
        <w:t>7</w:t>
      </w:r>
      <w:r w:rsidRPr="00193BED">
        <w:rPr>
          <w:sz w:val="26"/>
          <w:szCs w:val="26"/>
          <w:lang w:val="uk-UA"/>
        </w:rPr>
        <w:t xml:space="preserve"> тис. грн. та безкоштовним зубопротезуванням - </w:t>
      </w:r>
      <w:r w:rsidR="003D4D03">
        <w:rPr>
          <w:sz w:val="26"/>
          <w:szCs w:val="26"/>
          <w:lang w:val="uk-UA"/>
        </w:rPr>
        <w:t xml:space="preserve">538,0 </w:t>
      </w:r>
      <w:r w:rsidRPr="00193BED">
        <w:rPr>
          <w:sz w:val="26"/>
          <w:szCs w:val="26"/>
          <w:lang w:val="uk-UA"/>
        </w:rPr>
        <w:t>тис. 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 - придбання імуносупресорів для пацієнтів з трансплантованими органами -                     </w:t>
      </w:r>
      <w:r w:rsidR="00FE3980">
        <w:rPr>
          <w:sz w:val="26"/>
          <w:szCs w:val="26"/>
          <w:lang w:val="uk-UA"/>
        </w:rPr>
        <w:t>2</w:t>
      </w:r>
      <w:r w:rsidR="003D4D03">
        <w:rPr>
          <w:sz w:val="26"/>
          <w:szCs w:val="26"/>
          <w:lang w:val="uk-UA"/>
        </w:rPr>
        <w:t>64</w:t>
      </w:r>
      <w:r w:rsidR="00FE3980">
        <w:rPr>
          <w:sz w:val="26"/>
          <w:szCs w:val="26"/>
          <w:lang w:val="uk-UA"/>
        </w:rPr>
        <w:t>,</w:t>
      </w:r>
      <w:r w:rsidR="003D4D03">
        <w:rPr>
          <w:sz w:val="26"/>
          <w:szCs w:val="26"/>
          <w:lang w:val="uk-UA"/>
        </w:rPr>
        <w:t>0</w:t>
      </w:r>
      <w:r w:rsidRPr="00193BED">
        <w:rPr>
          <w:sz w:val="26"/>
          <w:szCs w:val="26"/>
          <w:lang w:val="uk-UA"/>
        </w:rPr>
        <w:t xml:space="preserve"> тис. грн.;</w:t>
      </w:r>
    </w:p>
    <w:p w:rsidR="00DB1C59" w:rsidRDefault="00DB1C59" w:rsidP="00C71180">
      <w:pPr>
        <w:jc w:val="both"/>
        <w:rPr>
          <w:sz w:val="26"/>
          <w:szCs w:val="26"/>
          <w:lang w:val="uk-UA"/>
        </w:rPr>
      </w:pPr>
    </w:p>
    <w:p w:rsidR="00DB1C59" w:rsidRDefault="00DB1C59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допомога </w:t>
      </w:r>
      <w:r w:rsidR="0005341C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мунозалежним громадянам - </w:t>
      </w:r>
      <w:r w:rsidR="003D4D03">
        <w:rPr>
          <w:sz w:val="26"/>
          <w:szCs w:val="26"/>
          <w:lang w:val="uk-UA"/>
        </w:rPr>
        <w:t xml:space="preserve">417,0 </w:t>
      </w:r>
      <w:r>
        <w:rPr>
          <w:sz w:val="26"/>
          <w:szCs w:val="26"/>
          <w:lang w:val="uk-UA"/>
        </w:rPr>
        <w:t>тис.</w:t>
      </w:r>
      <w:r w:rsidR="003D4D0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111333" w:rsidRDefault="00111333" w:rsidP="00C71180">
      <w:pPr>
        <w:jc w:val="both"/>
        <w:rPr>
          <w:sz w:val="26"/>
          <w:szCs w:val="26"/>
          <w:lang w:val="uk-UA"/>
        </w:rPr>
      </w:pPr>
    </w:p>
    <w:p w:rsidR="00111333" w:rsidRPr="00193BED" w:rsidRDefault="00111333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часткове відшкодування вартості лікарських засобів для лікування осіб з гіпертонічною хворобою - </w:t>
      </w:r>
      <w:r w:rsidR="003D4D03">
        <w:rPr>
          <w:sz w:val="26"/>
          <w:szCs w:val="26"/>
          <w:lang w:val="uk-UA"/>
        </w:rPr>
        <w:t>470,5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надання  матеріальної  допомоги  громадянам міста за їх заявами, які опинились у скрутному фінансовому становищі - </w:t>
      </w:r>
      <w:r w:rsidR="003D4D03">
        <w:rPr>
          <w:sz w:val="26"/>
          <w:szCs w:val="26"/>
          <w:lang w:val="uk-UA"/>
        </w:rPr>
        <w:t>2 391,7</w:t>
      </w:r>
      <w:r w:rsidRPr="00193BED">
        <w:rPr>
          <w:sz w:val="26"/>
          <w:szCs w:val="26"/>
          <w:lang w:val="uk-UA"/>
        </w:rPr>
        <w:t xml:space="preserve"> тис. грн.  (отримали таку допомогу                  </w:t>
      </w:r>
      <w:r w:rsidR="00FE3980">
        <w:rPr>
          <w:sz w:val="26"/>
          <w:szCs w:val="26"/>
          <w:lang w:val="uk-UA"/>
        </w:rPr>
        <w:t>1</w:t>
      </w:r>
      <w:r w:rsidR="00BF3AFC">
        <w:rPr>
          <w:sz w:val="26"/>
          <w:szCs w:val="26"/>
          <w:lang w:val="uk-UA"/>
        </w:rPr>
        <w:t xml:space="preserve"> </w:t>
      </w:r>
      <w:r w:rsidR="00FE3980">
        <w:rPr>
          <w:sz w:val="26"/>
          <w:szCs w:val="26"/>
          <w:lang w:val="uk-UA"/>
        </w:rPr>
        <w:t>2</w:t>
      </w:r>
      <w:r w:rsidR="003D4D03">
        <w:rPr>
          <w:sz w:val="26"/>
          <w:szCs w:val="26"/>
          <w:lang w:val="uk-UA"/>
        </w:rPr>
        <w:t>3</w:t>
      </w:r>
      <w:r w:rsidR="00FE3980">
        <w:rPr>
          <w:sz w:val="26"/>
          <w:szCs w:val="26"/>
          <w:lang w:val="uk-UA"/>
        </w:rPr>
        <w:t>2</w:t>
      </w:r>
      <w:r w:rsidRPr="00193BED">
        <w:rPr>
          <w:sz w:val="26"/>
          <w:szCs w:val="26"/>
          <w:lang w:val="uk-UA"/>
        </w:rPr>
        <w:t xml:space="preserve"> особи)</w:t>
      </w:r>
      <w:r>
        <w:rPr>
          <w:sz w:val="26"/>
          <w:szCs w:val="26"/>
          <w:lang w:val="uk-UA"/>
        </w:rPr>
        <w:t>.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  <w:r w:rsidRPr="002F6052">
        <w:rPr>
          <w:sz w:val="26"/>
          <w:szCs w:val="26"/>
          <w:highlight w:val="yellow"/>
          <w:lang w:val="uk-UA"/>
        </w:rPr>
        <w:t xml:space="preserve"> </w:t>
      </w:r>
    </w:p>
    <w:p w:rsidR="00C71180" w:rsidRPr="000605E8" w:rsidRDefault="00C71180" w:rsidP="00C71180">
      <w:pPr>
        <w:jc w:val="both"/>
        <w:rPr>
          <w:sz w:val="26"/>
          <w:szCs w:val="26"/>
          <w:lang w:val="uk-UA"/>
        </w:rPr>
      </w:pPr>
      <w:r w:rsidRPr="000605E8">
        <w:rPr>
          <w:sz w:val="26"/>
          <w:szCs w:val="26"/>
          <w:lang w:val="uk-UA"/>
        </w:rPr>
        <w:t xml:space="preserve">      </w:t>
      </w:r>
      <w:r w:rsidRPr="000605E8">
        <w:rPr>
          <w:b/>
          <w:sz w:val="26"/>
          <w:szCs w:val="26"/>
          <w:lang w:val="uk-UA"/>
        </w:rPr>
        <w:t xml:space="preserve">Видатки спеціального фонду міського бюджету склали </w:t>
      </w:r>
      <w:r w:rsidR="0016178D">
        <w:rPr>
          <w:b/>
          <w:sz w:val="26"/>
          <w:szCs w:val="26"/>
          <w:lang w:val="uk-UA"/>
        </w:rPr>
        <w:t>96 740,1</w:t>
      </w:r>
      <w:r w:rsidRPr="000605E8">
        <w:rPr>
          <w:b/>
          <w:sz w:val="26"/>
          <w:szCs w:val="26"/>
          <w:lang w:val="uk-UA"/>
        </w:rPr>
        <w:t xml:space="preserve"> тис. грн</w:t>
      </w:r>
      <w:r w:rsidRPr="000605E8">
        <w:rPr>
          <w:sz w:val="26"/>
          <w:szCs w:val="26"/>
          <w:lang w:val="uk-UA"/>
        </w:rPr>
        <w:t xml:space="preserve">., із яких видатки бюджету  розвитку проведені в обсязі  </w:t>
      </w:r>
      <w:r w:rsidR="0016178D">
        <w:rPr>
          <w:sz w:val="26"/>
          <w:szCs w:val="26"/>
          <w:lang w:val="uk-UA"/>
        </w:rPr>
        <w:t xml:space="preserve">90 </w:t>
      </w:r>
      <w:r w:rsidR="00B9124C">
        <w:rPr>
          <w:sz w:val="26"/>
          <w:szCs w:val="26"/>
          <w:lang w:val="uk-UA"/>
        </w:rPr>
        <w:t>198,3</w:t>
      </w:r>
      <w:r w:rsidRPr="000605E8">
        <w:rPr>
          <w:sz w:val="26"/>
          <w:szCs w:val="26"/>
          <w:lang w:val="uk-UA"/>
        </w:rPr>
        <w:t xml:space="preserve"> тис. грн., або </w:t>
      </w:r>
      <w:r w:rsidR="00DA746B">
        <w:rPr>
          <w:sz w:val="26"/>
          <w:szCs w:val="26"/>
          <w:lang w:val="uk-UA"/>
        </w:rPr>
        <w:t>9</w:t>
      </w:r>
      <w:r w:rsidR="005D1931">
        <w:rPr>
          <w:sz w:val="26"/>
          <w:szCs w:val="26"/>
          <w:lang w:val="uk-UA"/>
        </w:rPr>
        <w:t>3</w:t>
      </w:r>
      <w:r w:rsidR="008E6132">
        <w:rPr>
          <w:sz w:val="26"/>
          <w:szCs w:val="26"/>
          <w:lang w:val="uk-UA"/>
        </w:rPr>
        <w:t>,</w:t>
      </w:r>
      <w:r w:rsidR="00B9124C">
        <w:rPr>
          <w:sz w:val="26"/>
          <w:szCs w:val="26"/>
          <w:lang w:val="uk-UA"/>
        </w:rPr>
        <w:t>2</w:t>
      </w:r>
      <w:r w:rsidRPr="000605E8">
        <w:rPr>
          <w:sz w:val="26"/>
          <w:szCs w:val="26"/>
          <w:lang w:val="uk-UA"/>
        </w:rPr>
        <w:t xml:space="preserve"> % видатків спеціального фонду. </w:t>
      </w:r>
    </w:p>
    <w:p w:rsidR="00C71180" w:rsidRPr="002F6052" w:rsidRDefault="00C71180" w:rsidP="00C71180">
      <w:pPr>
        <w:jc w:val="center"/>
        <w:rPr>
          <w:sz w:val="26"/>
          <w:szCs w:val="26"/>
          <w:highlight w:val="yellow"/>
          <w:lang w:val="uk-UA"/>
        </w:rPr>
      </w:pPr>
    </w:p>
    <w:p w:rsidR="00C71180" w:rsidRPr="00193BED" w:rsidRDefault="00C71180" w:rsidP="00C71180">
      <w:pPr>
        <w:jc w:val="center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>Основні напрями використання коштів бюджету розвитку:</w:t>
      </w: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193BED" w:rsidRDefault="00C71180" w:rsidP="00C71180">
      <w:pPr>
        <w:jc w:val="both"/>
        <w:rPr>
          <w:sz w:val="26"/>
          <w:szCs w:val="26"/>
          <w:lang w:val="uk-UA"/>
        </w:rPr>
      </w:pPr>
      <w:r w:rsidRPr="00193BED">
        <w:rPr>
          <w:sz w:val="26"/>
          <w:szCs w:val="26"/>
          <w:lang w:val="uk-UA"/>
        </w:rPr>
        <w:t xml:space="preserve">- капітальний ремонт дошкільних і загальноосвітніх закладів освіти -                                      </w:t>
      </w:r>
      <w:r w:rsidR="00B9124C">
        <w:rPr>
          <w:sz w:val="26"/>
          <w:szCs w:val="26"/>
          <w:lang w:val="uk-UA"/>
        </w:rPr>
        <w:t>9 738,0</w:t>
      </w:r>
      <w:r w:rsidRPr="00193BED">
        <w:rPr>
          <w:sz w:val="26"/>
          <w:szCs w:val="26"/>
          <w:lang w:val="uk-UA"/>
        </w:rPr>
        <w:t xml:space="preserve">  тис.</w:t>
      </w:r>
      <w:r w:rsidR="00B24FC5">
        <w:rPr>
          <w:sz w:val="26"/>
          <w:szCs w:val="26"/>
          <w:lang w:val="uk-UA"/>
        </w:rPr>
        <w:t xml:space="preserve"> </w:t>
      </w:r>
      <w:r w:rsidRPr="00193BED">
        <w:rPr>
          <w:sz w:val="26"/>
          <w:szCs w:val="26"/>
          <w:lang w:val="uk-UA"/>
        </w:rPr>
        <w:t>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E267D5" w:rsidRDefault="00C71180" w:rsidP="00C71180">
      <w:pPr>
        <w:jc w:val="both"/>
        <w:rPr>
          <w:sz w:val="26"/>
          <w:szCs w:val="26"/>
          <w:lang w:val="uk-UA"/>
        </w:rPr>
      </w:pPr>
      <w:r w:rsidRPr="00E267D5">
        <w:rPr>
          <w:sz w:val="26"/>
          <w:szCs w:val="26"/>
          <w:lang w:val="uk-UA"/>
        </w:rPr>
        <w:t xml:space="preserve">- капітальний ремонт зовнішнього освітлення, у т.ч. техумови, проектування, експертиза - </w:t>
      </w:r>
      <w:r w:rsidR="00B9124C">
        <w:rPr>
          <w:sz w:val="26"/>
          <w:szCs w:val="26"/>
          <w:lang w:val="uk-UA"/>
        </w:rPr>
        <w:t>1 334,4</w:t>
      </w:r>
      <w:r w:rsidRPr="00E267D5">
        <w:rPr>
          <w:sz w:val="26"/>
          <w:szCs w:val="26"/>
          <w:lang w:val="uk-UA"/>
        </w:rPr>
        <w:t xml:space="preserve"> тис.</w:t>
      </w:r>
      <w:r w:rsidR="00B24FC5">
        <w:rPr>
          <w:sz w:val="26"/>
          <w:szCs w:val="26"/>
          <w:lang w:val="uk-UA"/>
        </w:rPr>
        <w:t xml:space="preserve"> </w:t>
      </w:r>
      <w:r w:rsidRPr="00E267D5">
        <w:rPr>
          <w:sz w:val="26"/>
          <w:szCs w:val="26"/>
          <w:lang w:val="uk-UA"/>
        </w:rPr>
        <w:t>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E267D5">
        <w:rPr>
          <w:sz w:val="26"/>
          <w:szCs w:val="26"/>
          <w:lang w:val="uk-UA"/>
        </w:rPr>
        <w:t xml:space="preserve">- капітальний ремонт мереж водовідведення та водопостачання - </w:t>
      </w:r>
      <w:r w:rsidR="00B9124C">
        <w:rPr>
          <w:sz w:val="26"/>
          <w:szCs w:val="26"/>
          <w:lang w:val="uk-UA"/>
        </w:rPr>
        <w:t>2 228,3</w:t>
      </w:r>
      <w:r w:rsidRPr="00E267D5">
        <w:rPr>
          <w:sz w:val="26"/>
          <w:szCs w:val="26"/>
          <w:lang w:val="uk-UA"/>
        </w:rPr>
        <w:t xml:space="preserve"> тис.</w:t>
      </w:r>
      <w:r w:rsidR="00B24FC5">
        <w:rPr>
          <w:sz w:val="26"/>
          <w:szCs w:val="26"/>
          <w:lang w:val="uk-UA"/>
        </w:rPr>
        <w:t xml:space="preserve"> </w:t>
      </w:r>
      <w:r w:rsidRPr="00E267D5">
        <w:rPr>
          <w:sz w:val="26"/>
          <w:szCs w:val="26"/>
          <w:lang w:val="uk-UA"/>
        </w:rPr>
        <w:t>грн.;</w:t>
      </w:r>
    </w:p>
    <w:p w:rsidR="0081790C" w:rsidRDefault="0081790C" w:rsidP="00C71180">
      <w:pPr>
        <w:jc w:val="both"/>
        <w:rPr>
          <w:sz w:val="26"/>
          <w:szCs w:val="26"/>
          <w:lang w:val="uk-UA"/>
        </w:rPr>
      </w:pPr>
    </w:p>
    <w:p w:rsidR="0081790C" w:rsidRDefault="0081790C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 проектування та реконструкція трубопроводу в районі підкачувальної насосної станції по проспекту Мира,41А - 607,1 тис.</w:t>
      </w:r>
      <w:r w:rsidR="00B24FC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81790C" w:rsidRDefault="0081790C" w:rsidP="00C71180">
      <w:pPr>
        <w:jc w:val="both"/>
        <w:rPr>
          <w:sz w:val="26"/>
          <w:szCs w:val="26"/>
          <w:lang w:val="uk-UA"/>
        </w:rPr>
      </w:pPr>
    </w:p>
    <w:p w:rsidR="0081790C" w:rsidRPr="00E267D5" w:rsidRDefault="0081790C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 реконструкція </w:t>
      </w:r>
      <w:r w:rsidR="00B24FC5">
        <w:rPr>
          <w:sz w:val="26"/>
          <w:szCs w:val="26"/>
          <w:lang w:val="uk-UA"/>
        </w:rPr>
        <w:t>двох</w:t>
      </w:r>
      <w:r>
        <w:rPr>
          <w:sz w:val="26"/>
          <w:szCs w:val="26"/>
          <w:lang w:val="uk-UA"/>
        </w:rPr>
        <w:t xml:space="preserve"> напірних ниток </w:t>
      </w:r>
      <w:r w:rsidR="00B24FC5">
        <w:rPr>
          <w:sz w:val="26"/>
          <w:szCs w:val="26"/>
          <w:lang w:val="uk-UA"/>
        </w:rPr>
        <w:t>каналізаційного</w:t>
      </w:r>
      <w:r>
        <w:rPr>
          <w:sz w:val="26"/>
          <w:szCs w:val="26"/>
          <w:lang w:val="uk-UA"/>
        </w:rPr>
        <w:t xml:space="preserve"> колектору Д 1000мм в 9-му мікрорайоні - 2 080,0 тис.</w:t>
      </w:r>
      <w:r w:rsidR="00B24FC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E267D5">
        <w:rPr>
          <w:sz w:val="26"/>
          <w:szCs w:val="26"/>
          <w:lang w:val="uk-UA"/>
        </w:rPr>
        <w:t xml:space="preserve">- реконструкція бойлерних та насосного обладнання на котельній № 2 -                        </w:t>
      </w:r>
      <w:r w:rsidR="00B9124C">
        <w:rPr>
          <w:sz w:val="26"/>
          <w:szCs w:val="26"/>
          <w:lang w:val="uk-UA"/>
        </w:rPr>
        <w:t>3 586,0</w:t>
      </w:r>
      <w:r w:rsidRPr="00E267D5">
        <w:rPr>
          <w:sz w:val="26"/>
          <w:szCs w:val="26"/>
          <w:lang w:val="uk-UA"/>
        </w:rPr>
        <w:t xml:space="preserve"> тис.</w:t>
      </w:r>
      <w:r w:rsidR="00B40CFF">
        <w:rPr>
          <w:sz w:val="26"/>
          <w:szCs w:val="26"/>
          <w:lang w:val="uk-UA"/>
        </w:rPr>
        <w:t xml:space="preserve"> </w:t>
      </w:r>
      <w:r w:rsidRPr="00E267D5">
        <w:rPr>
          <w:sz w:val="26"/>
          <w:szCs w:val="26"/>
          <w:lang w:val="uk-UA"/>
        </w:rPr>
        <w:t>грн.;</w:t>
      </w:r>
    </w:p>
    <w:p w:rsidR="0081790C" w:rsidRDefault="0081790C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81790C" w:rsidRPr="00E267D5" w:rsidRDefault="0081790C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 капітальний ремонт зовнішніх теплових мереж,  бойлерних - 1 225,5 тис.</w:t>
      </w:r>
      <w:r w:rsidR="00B40CF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E267D5" w:rsidRDefault="00C71180" w:rsidP="00C71180">
      <w:pPr>
        <w:jc w:val="both"/>
        <w:rPr>
          <w:sz w:val="26"/>
          <w:szCs w:val="26"/>
          <w:lang w:val="uk-UA"/>
        </w:rPr>
      </w:pPr>
      <w:r w:rsidRPr="00E267D5">
        <w:rPr>
          <w:sz w:val="26"/>
          <w:szCs w:val="26"/>
          <w:lang w:val="uk-UA"/>
        </w:rPr>
        <w:t xml:space="preserve">- реконструкція території гімназії № 1 в м. Іллічівську по вул. Шевченко, № 8 з будівництвом учбово-виховного комплексу початкової школи та гімназії на                     660 учнів. Будівництво учбово-виховного комплексу - </w:t>
      </w:r>
      <w:r w:rsidR="00B9124C">
        <w:rPr>
          <w:sz w:val="26"/>
          <w:szCs w:val="26"/>
          <w:lang w:val="uk-UA"/>
        </w:rPr>
        <w:t>8 006,7</w:t>
      </w:r>
      <w:r w:rsidRPr="00E267D5">
        <w:rPr>
          <w:sz w:val="26"/>
          <w:szCs w:val="26"/>
          <w:lang w:val="uk-UA"/>
        </w:rPr>
        <w:t xml:space="preserve"> тис.</w:t>
      </w:r>
      <w:r w:rsidR="00B40CFF">
        <w:rPr>
          <w:sz w:val="26"/>
          <w:szCs w:val="26"/>
          <w:lang w:val="uk-UA"/>
        </w:rPr>
        <w:t xml:space="preserve"> </w:t>
      </w:r>
      <w:r w:rsidRPr="00E267D5">
        <w:rPr>
          <w:sz w:val="26"/>
          <w:szCs w:val="26"/>
          <w:lang w:val="uk-UA"/>
        </w:rPr>
        <w:t>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E267D5" w:rsidRDefault="00C71180" w:rsidP="00C71180">
      <w:pPr>
        <w:jc w:val="both"/>
        <w:rPr>
          <w:sz w:val="26"/>
          <w:szCs w:val="26"/>
          <w:lang w:val="uk-UA"/>
        </w:rPr>
      </w:pPr>
      <w:r w:rsidRPr="00E267D5">
        <w:rPr>
          <w:sz w:val="26"/>
          <w:szCs w:val="26"/>
          <w:lang w:val="uk-UA"/>
        </w:rPr>
        <w:t xml:space="preserve">- будівництво малосімейного гуртожитку для працівників закладів освіти із зовнішніми інженерними мережами - </w:t>
      </w:r>
      <w:r w:rsidR="00B9124C">
        <w:rPr>
          <w:sz w:val="26"/>
          <w:szCs w:val="26"/>
          <w:lang w:val="uk-UA"/>
        </w:rPr>
        <w:t>18 107,5</w:t>
      </w:r>
      <w:r w:rsidRPr="00E267D5">
        <w:rPr>
          <w:sz w:val="26"/>
          <w:szCs w:val="26"/>
          <w:lang w:val="uk-UA"/>
        </w:rPr>
        <w:t xml:space="preserve"> тис.</w:t>
      </w:r>
      <w:r w:rsidR="00B40CFF">
        <w:rPr>
          <w:sz w:val="26"/>
          <w:szCs w:val="26"/>
          <w:lang w:val="uk-UA"/>
        </w:rPr>
        <w:t xml:space="preserve"> </w:t>
      </w:r>
      <w:r w:rsidRPr="00E267D5">
        <w:rPr>
          <w:sz w:val="26"/>
          <w:szCs w:val="26"/>
          <w:lang w:val="uk-UA"/>
        </w:rPr>
        <w:t>грн.</w:t>
      </w:r>
      <w:r w:rsidR="00B40CFF">
        <w:rPr>
          <w:sz w:val="26"/>
          <w:szCs w:val="26"/>
          <w:lang w:val="uk-UA"/>
        </w:rPr>
        <w:t>, в т.ч. за рахунок субвенції з обласного бюджету - 4 000,0 тис. грн.</w:t>
      </w:r>
      <w:r w:rsidRPr="00E267D5">
        <w:rPr>
          <w:sz w:val="26"/>
          <w:szCs w:val="26"/>
          <w:lang w:val="uk-UA"/>
        </w:rPr>
        <w:t>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E267D5" w:rsidRDefault="00C71180" w:rsidP="00C71180">
      <w:pPr>
        <w:jc w:val="both"/>
        <w:rPr>
          <w:sz w:val="26"/>
          <w:szCs w:val="26"/>
          <w:lang w:val="uk-UA"/>
        </w:rPr>
      </w:pPr>
      <w:r w:rsidRPr="00E267D5">
        <w:rPr>
          <w:sz w:val="26"/>
          <w:szCs w:val="26"/>
          <w:lang w:val="uk-UA"/>
        </w:rPr>
        <w:t xml:space="preserve">- капітальний ремонт внутрішніх інженерних мереж та оздоблювальні роботи будівлі за адресою : вул. Шмідта, 33 в с. </w:t>
      </w:r>
      <w:proofErr w:type="spellStart"/>
      <w:r w:rsidRPr="00E267D5">
        <w:rPr>
          <w:sz w:val="26"/>
          <w:szCs w:val="26"/>
          <w:lang w:val="uk-UA"/>
        </w:rPr>
        <w:t>Малодолинське</w:t>
      </w:r>
      <w:proofErr w:type="spellEnd"/>
      <w:r w:rsidRPr="00E267D5">
        <w:rPr>
          <w:sz w:val="26"/>
          <w:szCs w:val="26"/>
          <w:lang w:val="uk-UA"/>
        </w:rPr>
        <w:t xml:space="preserve">  - </w:t>
      </w:r>
      <w:r w:rsidR="00B9124C">
        <w:rPr>
          <w:sz w:val="26"/>
          <w:szCs w:val="26"/>
          <w:lang w:val="uk-UA"/>
        </w:rPr>
        <w:t>708,0</w:t>
      </w:r>
      <w:r w:rsidRPr="00E267D5">
        <w:rPr>
          <w:sz w:val="26"/>
          <w:szCs w:val="26"/>
          <w:lang w:val="uk-UA"/>
        </w:rPr>
        <w:t xml:space="preserve"> тис. грн.;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E267D5" w:rsidRDefault="00C71180" w:rsidP="00C71180">
      <w:pPr>
        <w:jc w:val="both"/>
        <w:rPr>
          <w:sz w:val="26"/>
          <w:szCs w:val="26"/>
          <w:lang w:val="uk-UA"/>
        </w:rPr>
      </w:pPr>
      <w:r w:rsidRPr="00E267D5">
        <w:rPr>
          <w:sz w:val="26"/>
          <w:szCs w:val="26"/>
          <w:lang w:val="uk-UA"/>
        </w:rPr>
        <w:t>- п</w:t>
      </w:r>
      <w:r w:rsidRPr="00B40CFF">
        <w:rPr>
          <w:sz w:val="26"/>
          <w:szCs w:val="26"/>
          <w:lang w:val="uk-UA"/>
        </w:rPr>
        <w:t xml:space="preserve">ротизсувні заходи у прибережній зоні в районі 9-го мікрорайону </w:t>
      </w:r>
      <w:r w:rsidRPr="00E267D5">
        <w:rPr>
          <w:sz w:val="26"/>
          <w:szCs w:val="26"/>
          <w:lang w:val="uk-UA"/>
        </w:rPr>
        <w:t xml:space="preserve">                                    </w:t>
      </w:r>
      <w:r w:rsidRPr="00B40CFF">
        <w:rPr>
          <w:sz w:val="26"/>
          <w:szCs w:val="26"/>
          <w:lang w:val="uk-UA"/>
        </w:rPr>
        <w:t xml:space="preserve">м. </w:t>
      </w:r>
      <w:r w:rsidRPr="00E267D5">
        <w:rPr>
          <w:sz w:val="26"/>
          <w:szCs w:val="26"/>
          <w:lang w:val="uk-UA"/>
        </w:rPr>
        <w:t xml:space="preserve">Чорноморська -  </w:t>
      </w:r>
      <w:r w:rsidR="00B9124C">
        <w:rPr>
          <w:sz w:val="26"/>
          <w:szCs w:val="26"/>
          <w:lang w:val="uk-UA"/>
        </w:rPr>
        <w:t>287,1</w:t>
      </w:r>
      <w:r w:rsidRPr="00E267D5">
        <w:rPr>
          <w:sz w:val="26"/>
          <w:szCs w:val="26"/>
          <w:lang w:val="uk-UA"/>
        </w:rPr>
        <w:t xml:space="preserve"> тис.</w:t>
      </w:r>
      <w:r w:rsidR="00B24FC5">
        <w:rPr>
          <w:sz w:val="26"/>
          <w:szCs w:val="26"/>
          <w:lang w:val="uk-UA"/>
        </w:rPr>
        <w:t xml:space="preserve"> </w:t>
      </w:r>
      <w:r w:rsidRPr="00E267D5">
        <w:rPr>
          <w:sz w:val="26"/>
          <w:szCs w:val="26"/>
          <w:lang w:val="uk-UA"/>
        </w:rPr>
        <w:t>грн.</w:t>
      </w:r>
      <w:r w:rsidR="00B40CFF">
        <w:rPr>
          <w:sz w:val="26"/>
          <w:szCs w:val="26"/>
          <w:lang w:val="uk-UA"/>
        </w:rPr>
        <w:t xml:space="preserve"> </w:t>
      </w:r>
      <w:r w:rsidR="00B24FC5">
        <w:rPr>
          <w:sz w:val="26"/>
          <w:szCs w:val="26"/>
          <w:lang w:val="uk-UA"/>
        </w:rPr>
        <w:t>( проведення</w:t>
      </w:r>
      <w:r w:rsidR="00B40CFF">
        <w:rPr>
          <w:sz w:val="26"/>
          <w:szCs w:val="26"/>
          <w:lang w:val="uk-UA"/>
        </w:rPr>
        <w:t xml:space="preserve"> дослідн</w:t>
      </w:r>
      <w:r w:rsidR="00B24FC5">
        <w:rPr>
          <w:sz w:val="26"/>
          <w:szCs w:val="26"/>
          <w:lang w:val="uk-UA"/>
        </w:rPr>
        <w:t>их</w:t>
      </w:r>
      <w:r w:rsidR="00B40CFF">
        <w:rPr>
          <w:sz w:val="26"/>
          <w:szCs w:val="26"/>
          <w:lang w:val="uk-UA"/>
        </w:rPr>
        <w:t xml:space="preserve">  роб</w:t>
      </w:r>
      <w:r w:rsidR="00B24FC5">
        <w:rPr>
          <w:sz w:val="26"/>
          <w:szCs w:val="26"/>
          <w:lang w:val="uk-UA"/>
        </w:rPr>
        <w:t>і</w:t>
      </w:r>
      <w:r w:rsidR="00B40CFF">
        <w:rPr>
          <w:sz w:val="26"/>
          <w:szCs w:val="26"/>
          <w:lang w:val="uk-UA"/>
        </w:rPr>
        <w:t>т</w:t>
      </w:r>
      <w:r w:rsidR="00B24FC5">
        <w:rPr>
          <w:sz w:val="26"/>
          <w:szCs w:val="26"/>
          <w:lang w:val="uk-UA"/>
        </w:rPr>
        <w:t xml:space="preserve"> по </w:t>
      </w:r>
      <w:r w:rsidR="00B24FC5">
        <w:rPr>
          <w:rStyle w:val="shorttext"/>
          <w:lang w:val="uk-UA"/>
        </w:rPr>
        <w:t xml:space="preserve"> зсувного схилу)</w:t>
      </w:r>
      <w:r w:rsidRPr="00E267D5">
        <w:rPr>
          <w:sz w:val="26"/>
          <w:szCs w:val="26"/>
          <w:lang w:val="uk-UA"/>
        </w:rPr>
        <w:t>;</w:t>
      </w:r>
    </w:p>
    <w:p w:rsidR="00C71180" w:rsidRPr="002F605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B40CFF" w:rsidRPr="00E267D5" w:rsidRDefault="00C71180" w:rsidP="00B40CFF">
      <w:pPr>
        <w:jc w:val="both"/>
        <w:rPr>
          <w:sz w:val="26"/>
          <w:szCs w:val="26"/>
          <w:lang w:val="uk-UA"/>
        </w:rPr>
      </w:pPr>
      <w:r w:rsidRPr="00E267D5">
        <w:rPr>
          <w:sz w:val="26"/>
          <w:szCs w:val="26"/>
          <w:lang w:val="uk-UA"/>
        </w:rPr>
        <w:t>- видатки на впровадження засобів обліку витрат те регулювання споживання води та теплової  енергії (</w:t>
      </w:r>
      <w:r w:rsidRPr="00E267D5">
        <w:rPr>
          <w:rStyle w:val="hps"/>
          <w:sz w:val="26"/>
          <w:szCs w:val="26"/>
          <w:lang w:val="uk-UA"/>
        </w:rPr>
        <w:t>установка</w:t>
      </w:r>
      <w:r w:rsidRPr="00E267D5">
        <w:rPr>
          <w:rStyle w:val="shorttext"/>
          <w:sz w:val="26"/>
          <w:szCs w:val="26"/>
          <w:lang w:val="uk-UA"/>
        </w:rPr>
        <w:t xml:space="preserve"> теплових </w:t>
      </w:r>
      <w:r w:rsidRPr="00E267D5">
        <w:rPr>
          <w:rStyle w:val="hps"/>
          <w:sz w:val="26"/>
          <w:szCs w:val="26"/>
          <w:lang w:val="uk-UA"/>
        </w:rPr>
        <w:t>лічильників</w:t>
      </w:r>
      <w:r w:rsidRPr="00E267D5">
        <w:rPr>
          <w:sz w:val="26"/>
          <w:szCs w:val="26"/>
          <w:lang w:val="uk-UA"/>
        </w:rPr>
        <w:t xml:space="preserve">) - </w:t>
      </w:r>
      <w:r w:rsidR="00B9124C">
        <w:rPr>
          <w:sz w:val="26"/>
          <w:szCs w:val="26"/>
          <w:lang w:val="uk-UA"/>
        </w:rPr>
        <w:t>6 220,3</w:t>
      </w:r>
      <w:r w:rsidRPr="00E267D5">
        <w:rPr>
          <w:sz w:val="26"/>
          <w:szCs w:val="26"/>
          <w:lang w:val="uk-UA"/>
        </w:rPr>
        <w:t xml:space="preserve"> тис.</w:t>
      </w:r>
      <w:r w:rsidR="00B40CFF">
        <w:rPr>
          <w:sz w:val="26"/>
          <w:szCs w:val="26"/>
          <w:lang w:val="uk-UA"/>
        </w:rPr>
        <w:t xml:space="preserve"> </w:t>
      </w:r>
      <w:r w:rsidRPr="00E267D5">
        <w:rPr>
          <w:sz w:val="26"/>
          <w:szCs w:val="26"/>
          <w:lang w:val="uk-UA"/>
        </w:rPr>
        <w:t>грн.</w:t>
      </w:r>
      <w:r w:rsidR="00B40CFF">
        <w:rPr>
          <w:sz w:val="26"/>
          <w:szCs w:val="26"/>
          <w:lang w:val="uk-UA"/>
        </w:rPr>
        <w:t>, в т.ч. за рахунок субвенції з обласного бюджету - 2 462,4 тис. грн.</w:t>
      </w:r>
      <w:r w:rsidR="00B40CFF" w:rsidRPr="00E267D5">
        <w:rPr>
          <w:sz w:val="26"/>
          <w:szCs w:val="26"/>
          <w:lang w:val="uk-UA"/>
        </w:rPr>
        <w:t>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капітальний ремонт вулиць, доріг, тротуарів  - </w:t>
      </w:r>
      <w:r w:rsidR="00B9124C">
        <w:rPr>
          <w:sz w:val="26"/>
          <w:szCs w:val="26"/>
          <w:lang w:val="uk-UA"/>
        </w:rPr>
        <w:t>14 816,8</w:t>
      </w:r>
      <w:r>
        <w:rPr>
          <w:sz w:val="26"/>
          <w:szCs w:val="26"/>
          <w:lang w:val="uk-UA"/>
        </w:rPr>
        <w:t xml:space="preserve"> тис.</w:t>
      </w:r>
      <w:r w:rsidR="00B24FC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2577E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будівництво об'єкту "</w:t>
      </w:r>
      <w:r w:rsidR="00B9124C">
        <w:rPr>
          <w:sz w:val="26"/>
          <w:szCs w:val="26"/>
          <w:lang w:val="uk-UA"/>
        </w:rPr>
        <w:t>М</w:t>
      </w:r>
      <w:r>
        <w:rPr>
          <w:sz w:val="26"/>
          <w:szCs w:val="26"/>
          <w:lang w:val="uk-UA"/>
        </w:rPr>
        <w:t xml:space="preserve">остовий перехід через Сухий Лиман з підходами в </w:t>
      </w:r>
      <w:r w:rsidR="00B24FC5"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  <w:lang w:val="uk-UA"/>
        </w:rPr>
        <w:t>с.</w:t>
      </w:r>
      <w:r w:rsidR="00B24FC5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Малодолинське</w:t>
      </w:r>
      <w:proofErr w:type="spellEnd"/>
      <w:r>
        <w:rPr>
          <w:sz w:val="26"/>
          <w:szCs w:val="26"/>
          <w:lang w:val="uk-UA"/>
        </w:rPr>
        <w:t xml:space="preserve">  на автомобільній дорозі Одеса - Іллічівськ" - </w:t>
      </w:r>
      <w:r w:rsidR="008E6132">
        <w:rPr>
          <w:sz w:val="26"/>
          <w:szCs w:val="26"/>
          <w:lang w:val="uk-UA"/>
        </w:rPr>
        <w:t>2 399,0</w:t>
      </w:r>
      <w:r>
        <w:rPr>
          <w:sz w:val="26"/>
          <w:szCs w:val="26"/>
          <w:lang w:val="uk-UA"/>
        </w:rPr>
        <w:t xml:space="preserve"> тис.</w:t>
      </w:r>
      <w:r w:rsidR="00B24FC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капітальний ремонт благоустрою </w:t>
      </w:r>
      <w:r w:rsidR="00B9124C">
        <w:rPr>
          <w:sz w:val="26"/>
          <w:szCs w:val="26"/>
          <w:lang w:val="uk-UA"/>
        </w:rPr>
        <w:t xml:space="preserve">та зовнішнього освітлення </w:t>
      </w:r>
      <w:r>
        <w:rPr>
          <w:sz w:val="26"/>
          <w:szCs w:val="26"/>
          <w:lang w:val="uk-UA"/>
        </w:rPr>
        <w:t xml:space="preserve">парку Праці - </w:t>
      </w:r>
      <w:r w:rsidR="00B9124C">
        <w:rPr>
          <w:sz w:val="26"/>
          <w:szCs w:val="26"/>
          <w:lang w:val="uk-UA"/>
        </w:rPr>
        <w:t xml:space="preserve">            1 289,9</w:t>
      </w:r>
      <w:r>
        <w:rPr>
          <w:sz w:val="26"/>
          <w:szCs w:val="26"/>
          <w:lang w:val="uk-UA"/>
        </w:rPr>
        <w:t xml:space="preserve"> тис.</w:t>
      </w:r>
      <w:r w:rsidR="00B24FC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E267D5" w:rsidRDefault="00C71180" w:rsidP="00C711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2577E4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капітальний ремонт житлового фонду - </w:t>
      </w:r>
      <w:r w:rsidR="0081790C">
        <w:rPr>
          <w:sz w:val="26"/>
          <w:szCs w:val="26"/>
          <w:lang w:val="uk-UA"/>
        </w:rPr>
        <w:t>4 660,4</w:t>
      </w:r>
      <w:r>
        <w:rPr>
          <w:sz w:val="26"/>
          <w:szCs w:val="26"/>
          <w:lang w:val="uk-UA"/>
        </w:rPr>
        <w:t xml:space="preserve"> тис.</w:t>
      </w:r>
      <w:r w:rsidR="00B24FC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</w:t>
      </w:r>
    </w:p>
    <w:p w:rsidR="00AE4164" w:rsidRDefault="00AE4164" w:rsidP="00074AE2">
      <w:pPr>
        <w:jc w:val="both"/>
        <w:rPr>
          <w:lang w:val="uk-UA"/>
        </w:rPr>
      </w:pPr>
    </w:p>
    <w:p w:rsidR="002E0F3B" w:rsidRDefault="002E0F3B" w:rsidP="00377B8E">
      <w:pPr>
        <w:ind w:firstLine="708"/>
        <w:jc w:val="right"/>
        <w:rPr>
          <w:b/>
          <w:lang w:val="uk-UA"/>
        </w:rPr>
      </w:pPr>
    </w:p>
    <w:p w:rsidR="00B57CC5" w:rsidRPr="00377B8E" w:rsidRDefault="00377B8E" w:rsidP="00377B8E">
      <w:pPr>
        <w:ind w:firstLine="708"/>
        <w:jc w:val="right"/>
        <w:rPr>
          <w:b/>
          <w:lang w:val="uk-UA"/>
        </w:rPr>
      </w:pPr>
      <w:r w:rsidRPr="00377B8E">
        <w:rPr>
          <w:b/>
          <w:lang w:val="uk-UA"/>
        </w:rPr>
        <w:t>Фінансове управління</w:t>
      </w:r>
    </w:p>
    <w:p w:rsidR="00377B8E" w:rsidRPr="00377B8E" w:rsidRDefault="00C71180" w:rsidP="00377B8E">
      <w:pPr>
        <w:ind w:firstLine="708"/>
        <w:jc w:val="right"/>
        <w:rPr>
          <w:b/>
          <w:lang w:val="uk-UA"/>
        </w:rPr>
      </w:pPr>
      <w:r>
        <w:rPr>
          <w:b/>
          <w:lang w:val="uk-UA"/>
        </w:rPr>
        <w:t>Чорноморської</w:t>
      </w:r>
      <w:r w:rsidR="00377B8E" w:rsidRPr="00377B8E">
        <w:rPr>
          <w:b/>
          <w:lang w:val="uk-UA"/>
        </w:rPr>
        <w:t xml:space="preserve"> міської ради</w:t>
      </w:r>
    </w:p>
    <w:sectPr w:rsidR="00377B8E" w:rsidRPr="00377B8E" w:rsidSect="002E0F3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3C9"/>
    <w:multiLevelType w:val="hybridMultilevel"/>
    <w:tmpl w:val="AF68CC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1031F"/>
    <w:multiLevelType w:val="hybridMultilevel"/>
    <w:tmpl w:val="1024BAE6"/>
    <w:lvl w:ilvl="0" w:tplc="949E206C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2CAA36BA"/>
    <w:multiLevelType w:val="hybridMultilevel"/>
    <w:tmpl w:val="E7B24842"/>
    <w:lvl w:ilvl="0" w:tplc="E7F64FB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21A74B6"/>
    <w:multiLevelType w:val="hybridMultilevel"/>
    <w:tmpl w:val="6BF8627E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652F0958"/>
    <w:multiLevelType w:val="hybridMultilevel"/>
    <w:tmpl w:val="4B86C27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652F5"/>
    <w:multiLevelType w:val="hybridMultilevel"/>
    <w:tmpl w:val="9F74A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C91A51"/>
    <w:multiLevelType w:val="hybridMultilevel"/>
    <w:tmpl w:val="8334E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362BE"/>
    <w:multiLevelType w:val="hybridMultilevel"/>
    <w:tmpl w:val="B66E1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4302B"/>
    <w:multiLevelType w:val="hybridMultilevel"/>
    <w:tmpl w:val="5A68D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051FA"/>
    <w:rsid w:val="000079F4"/>
    <w:rsid w:val="00015B3B"/>
    <w:rsid w:val="00023EAD"/>
    <w:rsid w:val="00024310"/>
    <w:rsid w:val="000420CA"/>
    <w:rsid w:val="00043369"/>
    <w:rsid w:val="00047921"/>
    <w:rsid w:val="00047AFD"/>
    <w:rsid w:val="000521B2"/>
    <w:rsid w:val="0005341C"/>
    <w:rsid w:val="000570CC"/>
    <w:rsid w:val="0006124E"/>
    <w:rsid w:val="00063458"/>
    <w:rsid w:val="000635B1"/>
    <w:rsid w:val="000673F4"/>
    <w:rsid w:val="00074AE2"/>
    <w:rsid w:val="00075062"/>
    <w:rsid w:val="0007659D"/>
    <w:rsid w:val="0007730B"/>
    <w:rsid w:val="00081256"/>
    <w:rsid w:val="00084104"/>
    <w:rsid w:val="00086F60"/>
    <w:rsid w:val="000938D5"/>
    <w:rsid w:val="000941BF"/>
    <w:rsid w:val="000A024A"/>
    <w:rsid w:val="000A0333"/>
    <w:rsid w:val="000B1F4E"/>
    <w:rsid w:val="000C31E7"/>
    <w:rsid w:val="000C70A0"/>
    <w:rsid w:val="000C7612"/>
    <w:rsid w:val="000D6602"/>
    <w:rsid w:val="000E1615"/>
    <w:rsid w:val="000F3232"/>
    <w:rsid w:val="000F5211"/>
    <w:rsid w:val="000F5FF8"/>
    <w:rsid w:val="00102036"/>
    <w:rsid w:val="00104553"/>
    <w:rsid w:val="00105A14"/>
    <w:rsid w:val="00111333"/>
    <w:rsid w:val="001119FF"/>
    <w:rsid w:val="0011572D"/>
    <w:rsid w:val="001172BF"/>
    <w:rsid w:val="0012162B"/>
    <w:rsid w:val="0012486E"/>
    <w:rsid w:val="00127E40"/>
    <w:rsid w:val="0013537F"/>
    <w:rsid w:val="00140B69"/>
    <w:rsid w:val="001440A6"/>
    <w:rsid w:val="00150A27"/>
    <w:rsid w:val="00151BE9"/>
    <w:rsid w:val="001521AD"/>
    <w:rsid w:val="00152A47"/>
    <w:rsid w:val="00156984"/>
    <w:rsid w:val="00157DC9"/>
    <w:rsid w:val="0016178D"/>
    <w:rsid w:val="00171ABD"/>
    <w:rsid w:val="0017272E"/>
    <w:rsid w:val="00172ED2"/>
    <w:rsid w:val="00174886"/>
    <w:rsid w:val="00177B45"/>
    <w:rsid w:val="00186176"/>
    <w:rsid w:val="001876E9"/>
    <w:rsid w:val="001926AF"/>
    <w:rsid w:val="001A46C2"/>
    <w:rsid w:val="001A691D"/>
    <w:rsid w:val="001B29F1"/>
    <w:rsid w:val="001C27AF"/>
    <w:rsid w:val="001C7208"/>
    <w:rsid w:val="001E1452"/>
    <w:rsid w:val="001E33BC"/>
    <w:rsid w:val="001F57B1"/>
    <w:rsid w:val="0020188C"/>
    <w:rsid w:val="00203342"/>
    <w:rsid w:val="00205987"/>
    <w:rsid w:val="00215B7D"/>
    <w:rsid w:val="002171A4"/>
    <w:rsid w:val="0023406A"/>
    <w:rsid w:val="00235647"/>
    <w:rsid w:val="00237CB7"/>
    <w:rsid w:val="00240C26"/>
    <w:rsid w:val="002425B2"/>
    <w:rsid w:val="00244937"/>
    <w:rsid w:val="002475B3"/>
    <w:rsid w:val="002521C5"/>
    <w:rsid w:val="002577E4"/>
    <w:rsid w:val="00257DBD"/>
    <w:rsid w:val="00260E21"/>
    <w:rsid w:val="00264762"/>
    <w:rsid w:val="00267BF4"/>
    <w:rsid w:val="002710D2"/>
    <w:rsid w:val="00276207"/>
    <w:rsid w:val="00281C62"/>
    <w:rsid w:val="00281DF9"/>
    <w:rsid w:val="002825C5"/>
    <w:rsid w:val="002861EE"/>
    <w:rsid w:val="0029187C"/>
    <w:rsid w:val="0029350B"/>
    <w:rsid w:val="0029487C"/>
    <w:rsid w:val="002A2C1C"/>
    <w:rsid w:val="002A5C08"/>
    <w:rsid w:val="002B4C71"/>
    <w:rsid w:val="002C449F"/>
    <w:rsid w:val="002C51C8"/>
    <w:rsid w:val="002D4F20"/>
    <w:rsid w:val="002D70B9"/>
    <w:rsid w:val="002E0F3B"/>
    <w:rsid w:val="002E2592"/>
    <w:rsid w:val="002E6CAF"/>
    <w:rsid w:val="002F1220"/>
    <w:rsid w:val="002F1CBC"/>
    <w:rsid w:val="002F3A21"/>
    <w:rsid w:val="002F3B2A"/>
    <w:rsid w:val="00302990"/>
    <w:rsid w:val="00310731"/>
    <w:rsid w:val="003216A8"/>
    <w:rsid w:val="00327082"/>
    <w:rsid w:val="00327652"/>
    <w:rsid w:val="00327B7B"/>
    <w:rsid w:val="00332B2A"/>
    <w:rsid w:val="00341055"/>
    <w:rsid w:val="00342696"/>
    <w:rsid w:val="00343B24"/>
    <w:rsid w:val="00346FF3"/>
    <w:rsid w:val="003470FC"/>
    <w:rsid w:val="00356E72"/>
    <w:rsid w:val="00361B06"/>
    <w:rsid w:val="00363C76"/>
    <w:rsid w:val="00371133"/>
    <w:rsid w:val="00377B8E"/>
    <w:rsid w:val="003838CB"/>
    <w:rsid w:val="0038469D"/>
    <w:rsid w:val="003859FA"/>
    <w:rsid w:val="003900AA"/>
    <w:rsid w:val="00396224"/>
    <w:rsid w:val="003A6F59"/>
    <w:rsid w:val="003B10D1"/>
    <w:rsid w:val="003B267E"/>
    <w:rsid w:val="003B4AFA"/>
    <w:rsid w:val="003B603D"/>
    <w:rsid w:val="003B69E2"/>
    <w:rsid w:val="003C012C"/>
    <w:rsid w:val="003C05F5"/>
    <w:rsid w:val="003C0AAC"/>
    <w:rsid w:val="003C1864"/>
    <w:rsid w:val="003C5F5C"/>
    <w:rsid w:val="003D4555"/>
    <w:rsid w:val="003D4D03"/>
    <w:rsid w:val="003D734B"/>
    <w:rsid w:val="003E554E"/>
    <w:rsid w:val="003E5B4F"/>
    <w:rsid w:val="003F08DB"/>
    <w:rsid w:val="003F29A0"/>
    <w:rsid w:val="00410D06"/>
    <w:rsid w:val="00421EBE"/>
    <w:rsid w:val="00430774"/>
    <w:rsid w:val="0043419C"/>
    <w:rsid w:val="004414B2"/>
    <w:rsid w:val="00445A57"/>
    <w:rsid w:val="00456075"/>
    <w:rsid w:val="0045672A"/>
    <w:rsid w:val="0046341F"/>
    <w:rsid w:val="00464631"/>
    <w:rsid w:val="00466E7A"/>
    <w:rsid w:val="00470B06"/>
    <w:rsid w:val="004760DC"/>
    <w:rsid w:val="004778D1"/>
    <w:rsid w:val="004833A3"/>
    <w:rsid w:val="00486355"/>
    <w:rsid w:val="0049125C"/>
    <w:rsid w:val="00494332"/>
    <w:rsid w:val="004A0175"/>
    <w:rsid w:val="004A0421"/>
    <w:rsid w:val="004A181B"/>
    <w:rsid w:val="004A422C"/>
    <w:rsid w:val="004A6393"/>
    <w:rsid w:val="004A6F34"/>
    <w:rsid w:val="004C147F"/>
    <w:rsid w:val="004D4B5A"/>
    <w:rsid w:val="004D6CC6"/>
    <w:rsid w:val="004E65C4"/>
    <w:rsid w:val="004F58C7"/>
    <w:rsid w:val="005060B8"/>
    <w:rsid w:val="00512794"/>
    <w:rsid w:val="00512AB0"/>
    <w:rsid w:val="00514836"/>
    <w:rsid w:val="0051760B"/>
    <w:rsid w:val="00530345"/>
    <w:rsid w:val="005326B2"/>
    <w:rsid w:val="0053537A"/>
    <w:rsid w:val="005366E7"/>
    <w:rsid w:val="00542348"/>
    <w:rsid w:val="005427A3"/>
    <w:rsid w:val="0054378A"/>
    <w:rsid w:val="00545D38"/>
    <w:rsid w:val="00552AF4"/>
    <w:rsid w:val="005531C9"/>
    <w:rsid w:val="00554B6E"/>
    <w:rsid w:val="00555360"/>
    <w:rsid w:val="0055550E"/>
    <w:rsid w:val="005625EE"/>
    <w:rsid w:val="00564927"/>
    <w:rsid w:val="005672C9"/>
    <w:rsid w:val="00580303"/>
    <w:rsid w:val="00591284"/>
    <w:rsid w:val="00593FEF"/>
    <w:rsid w:val="00595A59"/>
    <w:rsid w:val="00596962"/>
    <w:rsid w:val="00597B73"/>
    <w:rsid w:val="005A0D88"/>
    <w:rsid w:val="005A691F"/>
    <w:rsid w:val="005B0BCF"/>
    <w:rsid w:val="005B6555"/>
    <w:rsid w:val="005C2656"/>
    <w:rsid w:val="005D1931"/>
    <w:rsid w:val="005D220B"/>
    <w:rsid w:val="005D7F05"/>
    <w:rsid w:val="005E5FC6"/>
    <w:rsid w:val="005E7D56"/>
    <w:rsid w:val="005F3ADD"/>
    <w:rsid w:val="005F3BBD"/>
    <w:rsid w:val="005F4D15"/>
    <w:rsid w:val="00617417"/>
    <w:rsid w:val="00625308"/>
    <w:rsid w:val="00633017"/>
    <w:rsid w:val="006354D7"/>
    <w:rsid w:val="00635A71"/>
    <w:rsid w:val="00644C2D"/>
    <w:rsid w:val="00653360"/>
    <w:rsid w:val="006544A3"/>
    <w:rsid w:val="00667C8B"/>
    <w:rsid w:val="00671F1B"/>
    <w:rsid w:val="00674116"/>
    <w:rsid w:val="0067666C"/>
    <w:rsid w:val="0068161A"/>
    <w:rsid w:val="006911AD"/>
    <w:rsid w:val="006A239D"/>
    <w:rsid w:val="006B463C"/>
    <w:rsid w:val="006C0602"/>
    <w:rsid w:val="006C0620"/>
    <w:rsid w:val="006C0B3F"/>
    <w:rsid w:val="006C110D"/>
    <w:rsid w:val="006C618F"/>
    <w:rsid w:val="006D0183"/>
    <w:rsid w:val="006D6009"/>
    <w:rsid w:val="006D7FD4"/>
    <w:rsid w:val="006E094D"/>
    <w:rsid w:val="006E21A2"/>
    <w:rsid w:val="006E44AF"/>
    <w:rsid w:val="006E6EF2"/>
    <w:rsid w:val="006F6989"/>
    <w:rsid w:val="007008EB"/>
    <w:rsid w:val="00701C54"/>
    <w:rsid w:val="0070528C"/>
    <w:rsid w:val="00720474"/>
    <w:rsid w:val="0072110B"/>
    <w:rsid w:val="00722734"/>
    <w:rsid w:val="00726A53"/>
    <w:rsid w:val="007347AA"/>
    <w:rsid w:val="007355AA"/>
    <w:rsid w:val="00742260"/>
    <w:rsid w:val="00742E3C"/>
    <w:rsid w:val="007443C1"/>
    <w:rsid w:val="007446B7"/>
    <w:rsid w:val="00750DDB"/>
    <w:rsid w:val="00753C14"/>
    <w:rsid w:val="0075550E"/>
    <w:rsid w:val="00757A6E"/>
    <w:rsid w:val="00771151"/>
    <w:rsid w:val="00771E47"/>
    <w:rsid w:val="00773740"/>
    <w:rsid w:val="0078763B"/>
    <w:rsid w:val="007905C1"/>
    <w:rsid w:val="007A4B24"/>
    <w:rsid w:val="007A7055"/>
    <w:rsid w:val="007C0767"/>
    <w:rsid w:val="007C79BC"/>
    <w:rsid w:val="007D0D8D"/>
    <w:rsid w:val="007D5C82"/>
    <w:rsid w:val="007D71FB"/>
    <w:rsid w:val="007E23E8"/>
    <w:rsid w:val="007E3DA5"/>
    <w:rsid w:val="007E5A3B"/>
    <w:rsid w:val="007F09BD"/>
    <w:rsid w:val="007F4B9E"/>
    <w:rsid w:val="00804803"/>
    <w:rsid w:val="0081790C"/>
    <w:rsid w:val="00826ABA"/>
    <w:rsid w:val="00830A82"/>
    <w:rsid w:val="008343CE"/>
    <w:rsid w:val="00843051"/>
    <w:rsid w:val="00850396"/>
    <w:rsid w:val="008512AD"/>
    <w:rsid w:val="00856FA0"/>
    <w:rsid w:val="00857437"/>
    <w:rsid w:val="008620C1"/>
    <w:rsid w:val="00864BBA"/>
    <w:rsid w:val="008650FB"/>
    <w:rsid w:val="0087669A"/>
    <w:rsid w:val="00884005"/>
    <w:rsid w:val="00890C22"/>
    <w:rsid w:val="00891552"/>
    <w:rsid w:val="00893808"/>
    <w:rsid w:val="008956F7"/>
    <w:rsid w:val="00897C2E"/>
    <w:rsid w:val="008A095B"/>
    <w:rsid w:val="008A3556"/>
    <w:rsid w:val="008A636B"/>
    <w:rsid w:val="008A7CB8"/>
    <w:rsid w:val="008B03D0"/>
    <w:rsid w:val="008B0ED0"/>
    <w:rsid w:val="008B2C45"/>
    <w:rsid w:val="008B69AC"/>
    <w:rsid w:val="008C121A"/>
    <w:rsid w:val="008C37A3"/>
    <w:rsid w:val="008C4050"/>
    <w:rsid w:val="008C433D"/>
    <w:rsid w:val="008C68DE"/>
    <w:rsid w:val="008D0C03"/>
    <w:rsid w:val="008D14BB"/>
    <w:rsid w:val="008E0A77"/>
    <w:rsid w:val="008E227C"/>
    <w:rsid w:val="008E2B4F"/>
    <w:rsid w:val="008E6132"/>
    <w:rsid w:val="008F0A54"/>
    <w:rsid w:val="008F52BB"/>
    <w:rsid w:val="008F7023"/>
    <w:rsid w:val="00907130"/>
    <w:rsid w:val="00907B49"/>
    <w:rsid w:val="009110B6"/>
    <w:rsid w:val="00914F99"/>
    <w:rsid w:val="00914FF9"/>
    <w:rsid w:val="00917661"/>
    <w:rsid w:val="00927E43"/>
    <w:rsid w:val="00945968"/>
    <w:rsid w:val="00947CC7"/>
    <w:rsid w:val="00953609"/>
    <w:rsid w:val="009565AC"/>
    <w:rsid w:val="009638CC"/>
    <w:rsid w:val="009641A4"/>
    <w:rsid w:val="009708F1"/>
    <w:rsid w:val="00974E9F"/>
    <w:rsid w:val="00974F59"/>
    <w:rsid w:val="00975664"/>
    <w:rsid w:val="00982A8C"/>
    <w:rsid w:val="00983285"/>
    <w:rsid w:val="0098544A"/>
    <w:rsid w:val="009868B8"/>
    <w:rsid w:val="009904D7"/>
    <w:rsid w:val="0099241F"/>
    <w:rsid w:val="009A0550"/>
    <w:rsid w:val="009A1155"/>
    <w:rsid w:val="009A1ADC"/>
    <w:rsid w:val="009A6DAC"/>
    <w:rsid w:val="009B0232"/>
    <w:rsid w:val="009B2CF7"/>
    <w:rsid w:val="009B4A48"/>
    <w:rsid w:val="009B4D16"/>
    <w:rsid w:val="009C22DB"/>
    <w:rsid w:val="009C5A57"/>
    <w:rsid w:val="009C5B9F"/>
    <w:rsid w:val="009C62DC"/>
    <w:rsid w:val="009D0DDE"/>
    <w:rsid w:val="009D6FC8"/>
    <w:rsid w:val="009D7903"/>
    <w:rsid w:val="009E4905"/>
    <w:rsid w:val="009F15F4"/>
    <w:rsid w:val="009F2365"/>
    <w:rsid w:val="009F34CA"/>
    <w:rsid w:val="009F57E5"/>
    <w:rsid w:val="00A06A97"/>
    <w:rsid w:val="00A07D87"/>
    <w:rsid w:val="00A1048E"/>
    <w:rsid w:val="00A13BDA"/>
    <w:rsid w:val="00A215A4"/>
    <w:rsid w:val="00A227DE"/>
    <w:rsid w:val="00A274B4"/>
    <w:rsid w:val="00A44AFA"/>
    <w:rsid w:val="00A528BB"/>
    <w:rsid w:val="00A57188"/>
    <w:rsid w:val="00A57B7B"/>
    <w:rsid w:val="00A61A0E"/>
    <w:rsid w:val="00A62745"/>
    <w:rsid w:val="00A70E0F"/>
    <w:rsid w:val="00A812CC"/>
    <w:rsid w:val="00A815A2"/>
    <w:rsid w:val="00A83801"/>
    <w:rsid w:val="00A92B7E"/>
    <w:rsid w:val="00A947E8"/>
    <w:rsid w:val="00A952F9"/>
    <w:rsid w:val="00AA77F7"/>
    <w:rsid w:val="00AB6725"/>
    <w:rsid w:val="00AB7744"/>
    <w:rsid w:val="00AC469C"/>
    <w:rsid w:val="00AC47F5"/>
    <w:rsid w:val="00AC7075"/>
    <w:rsid w:val="00AC77FF"/>
    <w:rsid w:val="00AD0F12"/>
    <w:rsid w:val="00AD2018"/>
    <w:rsid w:val="00AD7141"/>
    <w:rsid w:val="00AE1638"/>
    <w:rsid w:val="00AE4164"/>
    <w:rsid w:val="00AE5F08"/>
    <w:rsid w:val="00AF2CD3"/>
    <w:rsid w:val="00AF5E4F"/>
    <w:rsid w:val="00AF6CD1"/>
    <w:rsid w:val="00B00E31"/>
    <w:rsid w:val="00B02E64"/>
    <w:rsid w:val="00B038F3"/>
    <w:rsid w:val="00B04444"/>
    <w:rsid w:val="00B062F8"/>
    <w:rsid w:val="00B1337E"/>
    <w:rsid w:val="00B16DA7"/>
    <w:rsid w:val="00B24FC5"/>
    <w:rsid w:val="00B25D20"/>
    <w:rsid w:val="00B318AC"/>
    <w:rsid w:val="00B35A5C"/>
    <w:rsid w:val="00B40CFF"/>
    <w:rsid w:val="00B40E0D"/>
    <w:rsid w:val="00B4462C"/>
    <w:rsid w:val="00B45CA6"/>
    <w:rsid w:val="00B472BE"/>
    <w:rsid w:val="00B513C3"/>
    <w:rsid w:val="00B51A23"/>
    <w:rsid w:val="00B578AE"/>
    <w:rsid w:val="00B57CC5"/>
    <w:rsid w:val="00B62132"/>
    <w:rsid w:val="00B64C0A"/>
    <w:rsid w:val="00B6512D"/>
    <w:rsid w:val="00B679BD"/>
    <w:rsid w:val="00B72EBA"/>
    <w:rsid w:val="00B77C92"/>
    <w:rsid w:val="00B84FF7"/>
    <w:rsid w:val="00B9124C"/>
    <w:rsid w:val="00B9495D"/>
    <w:rsid w:val="00BA3C4E"/>
    <w:rsid w:val="00BA4EA2"/>
    <w:rsid w:val="00BD1F42"/>
    <w:rsid w:val="00BD2886"/>
    <w:rsid w:val="00BE130E"/>
    <w:rsid w:val="00BE1486"/>
    <w:rsid w:val="00BF27CB"/>
    <w:rsid w:val="00BF324B"/>
    <w:rsid w:val="00BF3AFC"/>
    <w:rsid w:val="00C01146"/>
    <w:rsid w:val="00C04B60"/>
    <w:rsid w:val="00C07347"/>
    <w:rsid w:val="00C260C3"/>
    <w:rsid w:val="00C26DB4"/>
    <w:rsid w:val="00C32AEC"/>
    <w:rsid w:val="00C4333E"/>
    <w:rsid w:val="00C44A23"/>
    <w:rsid w:val="00C53273"/>
    <w:rsid w:val="00C57494"/>
    <w:rsid w:val="00C607C4"/>
    <w:rsid w:val="00C613BA"/>
    <w:rsid w:val="00C6426C"/>
    <w:rsid w:val="00C666D6"/>
    <w:rsid w:val="00C705E4"/>
    <w:rsid w:val="00C71180"/>
    <w:rsid w:val="00C7684B"/>
    <w:rsid w:val="00C7726F"/>
    <w:rsid w:val="00C77D8C"/>
    <w:rsid w:val="00C8057D"/>
    <w:rsid w:val="00C831B7"/>
    <w:rsid w:val="00C85E3B"/>
    <w:rsid w:val="00C949AC"/>
    <w:rsid w:val="00CA5948"/>
    <w:rsid w:val="00CB5393"/>
    <w:rsid w:val="00CB7C9E"/>
    <w:rsid w:val="00CD1782"/>
    <w:rsid w:val="00CD782D"/>
    <w:rsid w:val="00CE5E98"/>
    <w:rsid w:val="00CE643F"/>
    <w:rsid w:val="00CF15EE"/>
    <w:rsid w:val="00CF764E"/>
    <w:rsid w:val="00D109FB"/>
    <w:rsid w:val="00D2300D"/>
    <w:rsid w:val="00D23EC5"/>
    <w:rsid w:val="00D248CD"/>
    <w:rsid w:val="00D26F11"/>
    <w:rsid w:val="00D349C6"/>
    <w:rsid w:val="00D44510"/>
    <w:rsid w:val="00D51F92"/>
    <w:rsid w:val="00D61ED2"/>
    <w:rsid w:val="00D63248"/>
    <w:rsid w:val="00D65893"/>
    <w:rsid w:val="00D663CC"/>
    <w:rsid w:val="00D707AD"/>
    <w:rsid w:val="00D70C21"/>
    <w:rsid w:val="00D75F30"/>
    <w:rsid w:val="00D80651"/>
    <w:rsid w:val="00D90E21"/>
    <w:rsid w:val="00D91973"/>
    <w:rsid w:val="00D936E2"/>
    <w:rsid w:val="00D9678E"/>
    <w:rsid w:val="00D96B18"/>
    <w:rsid w:val="00D97970"/>
    <w:rsid w:val="00DA106F"/>
    <w:rsid w:val="00DA61AF"/>
    <w:rsid w:val="00DA746B"/>
    <w:rsid w:val="00DB031D"/>
    <w:rsid w:val="00DB1C59"/>
    <w:rsid w:val="00DC1A95"/>
    <w:rsid w:val="00DC6569"/>
    <w:rsid w:val="00DC7A93"/>
    <w:rsid w:val="00DC7B4B"/>
    <w:rsid w:val="00DD0EB4"/>
    <w:rsid w:val="00DE1240"/>
    <w:rsid w:val="00E02426"/>
    <w:rsid w:val="00E07086"/>
    <w:rsid w:val="00E1279F"/>
    <w:rsid w:val="00E17F8C"/>
    <w:rsid w:val="00E242FA"/>
    <w:rsid w:val="00E275A9"/>
    <w:rsid w:val="00E3208E"/>
    <w:rsid w:val="00E3692F"/>
    <w:rsid w:val="00E371AD"/>
    <w:rsid w:val="00E43507"/>
    <w:rsid w:val="00E44645"/>
    <w:rsid w:val="00E509F1"/>
    <w:rsid w:val="00E5644A"/>
    <w:rsid w:val="00E579A4"/>
    <w:rsid w:val="00E71913"/>
    <w:rsid w:val="00E86649"/>
    <w:rsid w:val="00E94D7B"/>
    <w:rsid w:val="00E976C2"/>
    <w:rsid w:val="00E97A03"/>
    <w:rsid w:val="00EA02A3"/>
    <w:rsid w:val="00EA3F00"/>
    <w:rsid w:val="00EA71E5"/>
    <w:rsid w:val="00EB0FAD"/>
    <w:rsid w:val="00EB1FD1"/>
    <w:rsid w:val="00EC0648"/>
    <w:rsid w:val="00EC0B16"/>
    <w:rsid w:val="00ED53D3"/>
    <w:rsid w:val="00EE0083"/>
    <w:rsid w:val="00EE100D"/>
    <w:rsid w:val="00EE2050"/>
    <w:rsid w:val="00EE61B3"/>
    <w:rsid w:val="00EF1A86"/>
    <w:rsid w:val="00EF7DBE"/>
    <w:rsid w:val="00F02F08"/>
    <w:rsid w:val="00F05B77"/>
    <w:rsid w:val="00F0609F"/>
    <w:rsid w:val="00F072B7"/>
    <w:rsid w:val="00F2032F"/>
    <w:rsid w:val="00F20A6F"/>
    <w:rsid w:val="00F2241D"/>
    <w:rsid w:val="00F25FEF"/>
    <w:rsid w:val="00F343B7"/>
    <w:rsid w:val="00F345C6"/>
    <w:rsid w:val="00F3601B"/>
    <w:rsid w:val="00F40767"/>
    <w:rsid w:val="00F41BC6"/>
    <w:rsid w:val="00F43934"/>
    <w:rsid w:val="00F4535B"/>
    <w:rsid w:val="00F54EE8"/>
    <w:rsid w:val="00F6329C"/>
    <w:rsid w:val="00F669FC"/>
    <w:rsid w:val="00F66CA1"/>
    <w:rsid w:val="00F6759D"/>
    <w:rsid w:val="00F731CE"/>
    <w:rsid w:val="00F746C2"/>
    <w:rsid w:val="00F74E4B"/>
    <w:rsid w:val="00F818EF"/>
    <w:rsid w:val="00F82A64"/>
    <w:rsid w:val="00F82C87"/>
    <w:rsid w:val="00F84112"/>
    <w:rsid w:val="00F85689"/>
    <w:rsid w:val="00F905DF"/>
    <w:rsid w:val="00F9274D"/>
    <w:rsid w:val="00F94D4B"/>
    <w:rsid w:val="00FA318A"/>
    <w:rsid w:val="00FB09A8"/>
    <w:rsid w:val="00FB2850"/>
    <w:rsid w:val="00FC0088"/>
    <w:rsid w:val="00FC10ED"/>
    <w:rsid w:val="00FC36C5"/>
    <w:rsid w:val="00FD34B8"/>
    <w:rsid w:val="00FE3980"/>
    <w:rsid w:val="00FE4E54"/>
    <w:rsid w:val="00FF08CA"/>
    <w:rsid w:val="00FF1243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711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paragraph" w:styleId="a6">
    <w:name w:val="List Paragraph"/>
    <w:basedOn w:val="a"/>
    <w:uiPriority w:val="34"/>
    <w:qFormat/>
    <w:rsid w:val="00A83801"/>
    <w:pPr>
      <w:ind w:left="720"/>
      <w:contextualSpacing/>
    </w:pPr>
  </w:style>
  <w:style w:type="character" w:customStyle="1" w:styleId="shorttext">
    <w:name w:val="short_text"/>
    <w:basedOn w:val="a0"/>
    <w:rsid w:val="00D61ED2"/>
  </w:style>
  <w:style w:type="character" w:customStyle="1" w:styleId="hps">
    <w:name w:val="hps"/>
    <w:basedOn w:val="a0"/>
    <w:rsid w:val="00D61ED2"/>
  </w:style>
  <w:style w:type="character" w:customStyle="1" w:styleId="rvts0">
    <w:name w:val="rvts0"/>
    <w:basedOn w:val="a0"/>
    <w:rsid w:val="00B64C0A"/>
  </w:style>
  <w:style w:type="character" w:customStyle="1" w:styleId="30">
    <w:name w:val="Заголовок 3 Знак"/>
    <w:basedOn w:val="a0"/>
    <w:link w:val="3"/>
    <w:semiHidden/>
    <w:rsid w:val="00C71180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microsoft.com/office/2007/relationships/diagramDrawing" Target="diagrams/drawing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220FU\Desktop\&#1089;&#1090;&#1088;&#1091;&#1082;&#1090;&#1082;&#1088;&#1072;%20&#1074;&#1080;&#1076;&#1072;&#1090;&#1082;&#1110;&#1074;%20&#1076;&#1080;&#1072;&#1075;&#1088;&#1084;&#1072;_9_2016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Порівняння</a:t>
            </a:r>
            <a:r>
              <a:rPr lang="ru-RU" sz="1400" baseline="0"/>
              <a:t> надходжень до бюджету міста Чорноморська </a:t>
            </a:r>
          </a:p>
          <a:p>
            <a:pPr>
              <a:defRPr/>
            </a:pPr>
            <a:r>
              <a:rPr lang="ru-RU" sz="1400" baseline="0"/>
              <a:t>за січень - вересень, млн.грн.</a:t>
            </a:r>
            <a:endParaRPr lang="ru-RU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млн.грн.</c:v>
                </c:pt>
              </c:strCache>
            </c:strRef>
          </c:tx>
          <c:spPr>
            <a:gradFill flip="none" rotWithShape="1"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  <a:tileRect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9 місяців 2015р.</c:v>
                </c:pt>
                <c:pt idx="1">
                  <c:v>9 місяців 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302.5</c:v>
                </c:pt>
                <c:pt idx="1">
                  <c:v>427.9</c:v>
                </c:pt>
              </c:numCache>
            </c:numRef>
          </c:val>
        </c:ser>
        <c:axId val="80648832"/>
        <c:axId val="80724352"/>
      </c:barChart>
      <c:catAx>
        <c:axId val="80648832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0724352"/>
        <c:crosses val="autoZero"/>
        <c:auto val="1"/>
        <c:lblAlgn val="ctr"/>
        <c:lblOffset val="100"/>
      </c:catAx>
      <c:valAx>
        <c:axId val="807243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0648832"/>
        <c:crosses val="autoZero"/>
        <c:crossBetween val="between"/>
      </c:valAx>
    </c:plotArea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 фактичних надходжень до бюджету міста Чорноморська </a:t>
            </a:r>
          </a:p>
          <a:p>
            <a:pPr>
              <a:defRPr sz="1200"/>
            </a:pPr>
            <a:r>
              <a:rPr lang="ru-RU" sz="1200"/>
              <a:t>за січень - вересень 2016р., млн.грн.</a:t>
            </a:r>
          </a:p>
        </c:rich>
      </c:tx>
    </c:title>
    <c:view3D>
      <c:rotX val="30"/>
      <c:rotY val="270"/>
      <c:perspective val="30"/>
    </c:view3D>
    <c:plotArea>
      <c:layout>
        <c:manualLayout>
          <c:layoutTarget val="inner"/>
          <c:xMode val="edge"/>
          <c:yMode val="edge"/>
          <c:x val="0.14093127866170943"/>
          <c:y val="0.24068136782047544"/>
          <c:w val="0.8283653176103386"/>
          <c:h val="0.664126343181461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надходжень до бюджету міста Чорноморська за січень - вересень 2016р.</c:v>
                </c:pt>
              </c:strCache>
            </c:strRef>
          </c:tx>
          <c:explosion val="25"/>
          <c:dPt>
            <c:idx val="0"/>
            <c:explosion val="33"/>
          </c:dPt>
          <c:dLbls>
            <c:dLbl>
              <c:idx val="0"/>
              <c:layout>
                <c:manualLayout>
                  <c:x val="5.7067628072723288E-2"/>
                  <c:y val="3.576403376928311E-2"/>
                </c:manualLayout>
              </c:layout>
              <c:showVal val="1"/>
              <c:showCatName val="1"/>
              <c:separator>
</c:separator>
            </c:dLbl>
            <c:dLbl>
              <c:idx val="1"/>
              <c:layout>
                <c:manualLayout>
                  <c:x val="1.3784326243798325E-3"/>
                  <c:y val="-6.37958289401859E-2"/>
                </c:manualLayout>
              </c:layout>
              <c:showVal val="1"/>
              <c:showCatName val="1"/>
              <c:separator>
</c:separator>
            </c:dLbl>
            <c:dLbl>
              <c:idx val="2"/>
              <c:layout>
                <c:manualLayout>
                  <c:x val="-9.9883412824589221E-2"/>
                  <c:y val="9.9200933216681234E-2"/>
                </c:manualLayout>
              </c:layout>
              <c:showVal val="1"/>
              <c:showCatName val="1"/>
              <c:separator>
</c:separator>
            </c:dLbl>
            <c:dLbl>
              <c:idx val="3"/>
              <c:layout>
                <c:manualLayout>
                  <c:x val="0.16112648081152073"/>
                  <c:y val="1.6683940148507135E-2"/>
                </c:manualLayout>
              </c:layout>
              <c:showVal val="1"/>
              <c:showCatName val="1"/>
              <c:separator>
</c:separator>
            </c:dLbl>
            <c:dLbl>
              <c:idx val="4"/>
              <c:layout>
                <c:manualLayout>
                  <c:x val="9.5969188271179964E-2"/>
                  <c:y val="7.4661522010603429E-2"/>
                </c:manualLayout>
              </c:layout>
              <c:showVal val="1"/>
              <c:showCatName val="1"/>
              <c:separator>
</c:separator>
            </c:dLbl>
            <c:dLbl>
              <c:idx val="5"/>
              <c:layout>
                <c:manualLayout>
                  <c:x val="-3.1246698296258278E-2"/>
                  <c:y val="0.14147624709304499"/>
                </c:manualLayout>
              </c:layout>
              <c:showVal val="1"/>
              <c:showCatName val="1"/>
              <c:separator>
</c:separator>
            </c:dLbl>
            <c:dLbl>
              <c:idx val="6"/>
              <c:layout>
                <c:manualLayout>
                  <c:x val="-5.7849104315060768E-2"/>
                  <c:y val="7.9044350225452586E-2"/>
                </c:manualLayout>
              </c:layout>
              <c:showVal val="1"/>
              <c:showCatName val="1"/>
              <c:separator>
</c:separator>
            </c:dLbl>
            <c:dLbl>
              <c:idx val="7"/>
              <c:layout>
                <c:manualLayout>
                  <c:x val="-6.1250578971746177E-2"/>
                  <c:y val="-4.6509485459616723E-2"/>
                </c:manualLayout>
              </c:layout>
              <c:showVal val="1"/>
              <c:showCatName val="1"/>
              <c:separator>
</c:separator>
            </c:dLbl>
            <c:dLbl>
              <c:idx val="8"/>
              <c:layout>
                <c:manualLayout>
                  <c:x val="-3.2605185083184295E-2"/>
                  <c:y val="-0.22086397319993123"/>
                </c:manualLayout>
              </c:layout>
              <c:showVal val="1"/>
              <c:showCatName val="1"/>
              <c:separator>
</c:separator>
            </c:dLbl>
            <c:dLbl>
              <c:idx val="9"/>
              <c:layout>
                <c:manualLayout>
                  <c:x val="-3.4246168354551867E-2"/>
                  <c:y val="-0.35713364889217875"/>
                </c:manualLayout>
              </c:layout>
              <c:showVal val="1"/>
              <c:showCatName val="1"/>
              <c:separator>
</c:separator>
            </c:dLbl>
            <c:spPr>
              <a:ln>
                <a:solidFill>
                  <a:schemeClr val="accent3">
                    <a:lumMod val="60000"/>
                    <a:lumOff val="40000"/>
                  </a:schemeClr>
                </a:solidFill>
              </a:ln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  <c:separator>
</c:separator>
            <c:showLeaderLines val="1"/>
          </c:dLbls>
          <c:cat>
            <c:strRef>
              <c:f>Лист1!$A$2:$A$11</c:f>
              <c:strCache>
                <c:ptCount val="10"/>
                <c:pt idx="0">
                  <c:v>Податок на доходи фізичних осіб</c:v>
                </c:pt>
                <c:pt idx="1">
                  <c:v>Плата за землю</c:v>
                </c:pt>
                <c:pt idx="2">
                  <c:v>Соціальні субвенції</c:v>
                </c:pt>
                <c:pt idx="3">
                  <c:v>Освітня субвенція</c:v>
                </c:pt>
                <c:pt idx="4">
                  <c:v>Субвенція на інвестиційні проекти</c:v>
                </c:pt>
                <c:pt idx="5">
                  <c:v>Єдиний податок</c:v>
                </c:pt>
                <c:pt idx="6">
                  <c:v>Акцизний податок</c:v>
                </c:pt>
                <c:pt idx="7">
                  <c:v>Бюджет розвитку</c:v>
                </c:pt>
                <c:pt idx="8">
                  <c:v>Власні надходження бюджетних установ</c:v>
                </c:pt>
                <c:pt idx="9">
                  <c:v>Інші надходження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150</c:v>
                </c:pt>
                <c:pt idx="1">
                  <c:v>91.3</c:v>
                </c:pt>
                <c:pt idx="2">
                  <c:v>66.7</c:v>
                </c:pt>
                <c:pt idx="3">
                  <c:v>47.2</c:v>
                </c:pt>
                <c:pt idx="4">
                  <c:v>6.5</c:v>
                </c:pt>
                <c:pt idx="5">
                  <c:v>18.8</c:v>
                </c:pt>
                <c:pt idx="6">
                  <c:v>16.8</c:v>
                </c:pt>
                <c:pt idx="7">
                  <c:v>9.3000000000000007</c:v>
                </c:pt>
                <c:pt idx="8">
                  <c:v>6.8</c:v>
                </c:pt>
                <c:pt idx="9">
                  <c:v>14.499999999999972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Порівняння надходжень податку на доходи фізичних осіб </a:t>
            </a:r>
          </a:p>
          <a:p>
            <a:pPr>
              <a:defRPr sz="1200"/>
            </a:pPr>
            <a:r>
              <a:rPr lang="ru-RU" sz="1200"/>
              <a:t>за 9 місяців  2015-2016рр. </a:t>
            </a:r>
          </a:p>
          <a:p>
            <a:pPr>
              <a:defRPr sz="1200"/>
            </a:pPr>
            <a:r>
              <a:rPr lang="ru-RU" sz="1200"/>
              <a:t>до бюджету м.Чорноморська, млн.грн.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Порівняння надходжень податку на доходи фізичних осіб за 1 квартал 2015-2016рр. До бюджекту м.Чорноморська, млн.грн.</c:v>
                </c:pt>
              </c:strCache>
            </c:strRef>
          </c:tx>
          <c:dLbls>
            <c:dLbl>
              <c:idx val="0"/>
              <c:layout>
                <c:manualLayout>
                  <c:x val="4.6296296296296537E-3"/>
                  <c:y val="0.14285714285714374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0.15079365079365079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9 місяців 2015р.</c:v>
                </c:pt>
                <c:pt idx="1">
                  <c:v>9 місяців 2016р.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 formatCode="General">
                  <c:v>102.7</c:v>
                </c:pt>
                <c:pt idx="1">
                  <c:v>150</c:v>
                </c:pt>
              </c:numCache>
            </c:numRef>
          </c:val>
        </c:ser>
        <c:shape val="box"/>
        <c:axId val="53881472"/>
        <c:axId val="53940608"/>
        <c:axId val="0"/>
      </c:bar3DChart>
      <c:catAx>
        <c:axId val="53881472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53940608"/>
        <c:crosses val="autoZero"/>
        <c:auto val="1"/>
        <c:lblAlgn val="ctr"/>
        <c:lblOffset val="100"/>
      </c:catAx>
      <c:valAx>
        <c:axId val="539406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53881472"/>
        <c:crosses val="autoZero"/>
        <c:crossBetween val="between"/>
      </c:valAx>
    </c:plotArea>
    <c:plotVisOnly val="1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Пор</a:t>
            </a:r>
            <a:r>
              <a:rPr lang="uk-UA" sz="1200"/>
              <a:t>івняння</a:t>
            </a:r>
            <a:r>
              <a:rPr lang="uk-UA" sz="1200" baseline="0"/>
              <a:t> н</a:t>
            </a:r>
            <a:r>
              <a:rPr lang="ru-RU" sz="1200"/>
              <a:t>адходженнь плати за землю до бюджету міста Чорноморська за  9 місяців 2015-2016рр., млн.грн.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6.3865778835523523E-2"/>
          <c:y val="0.18686851012310329"/>
          <c:w val="0.91255437121806648"/>
          <c:h val="0.56500472794436052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Земельний податок</c:v>
                </c:pt>
              </c:strCache>
            </c:strRef>
          </c:tx>
          <c:spPr>
            <a:gradFill>
              <a:gsLst>
                <a:gs pos="0">
                  <a:srgbClr val="03D4A8"/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13500000" scaled="0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вересень 2015р.</c:v>
                </c:pt>
                <c:pt idx="1">
                  <c:v>січень - вересень 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22.1</c:v>
                </c:pt>
                <c:pt idx="1">
                  <c:v>35.9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Орендна плата</c:v>
                </c:pt>
              </c:strCache>
            </c:strRef>
          </c:tx>
          <c:spPr>
            <a:gradFill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вересень 2015р.</c:v>
                </c:pt>
                <c:pt idx="1">
                  <c:v>січень - вересень 2016р.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39.1</c:v>
                </c:pt>
                <c:pt idx="1">
                  <c:v>55.4</c:v>
                </c:pt>
              </c:numCache>
            </c:numRef>
          </c:val>
        </c:ser>
        <c:shape val="cylinder"/>
        <c:axId val="71862144"/>
        <c:axId val="71863680"/>
        <c:axId val="0"/>
      </c:bar3DChart>
      <c:catAx>
        <c:axId val="71862144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71863680"/>
        <c:crosses val="autoZero"/>
        <c:auto val="1"/>
        <c:lblAlgn val="ctr"/>
        <c:lblOffset val="100"/>
      </c:catAx>
      <c:valAx>
        <c:axId val="718636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71862144"/>
        <c:crosses val="autoZero"/>
        <c:crossBetween val="between"/>
      </c:valAx>
    </c:plotArea>
    <c:legend>
      <c:legendPos val="b"/>
      <c:txPr>
        <a:bodyPr/>
        <a:lstStyle/>
        <a:p>
          <a:pPr>
            <a:defRPr sz="1200" b="1"/>
          </a:pPr>
          <a:endParaRPr lang="ru-RU"/>
        </a:p>
      </c:txPr>
    </c:legend>
    <c:plotVisOnly val="1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2376058854189482"/>
          <c:y val="0.11801455499880696"/>
          <c:w val="0.43181802628385518"/>
          <c:h val="0.6165713376737012"/>
        </c:manualLayout>
      </c:layout>
      <c:pieChart>
        <c:varyColors val="1"/>
        <c:ser>
          <c:idx val="0"/>
          <c:order val="0"/>
          <c:explosion val="25"/>
          <c:dPt>
            <c:idx val="0"/>
            <c:spPr>
              <a:solidFill>
                <a:srgbClr val="00B050"/>
              </a:solidFill>
            </c:spPr>
          </c:dPt>
          <c:dPt>
            <c:idx val="3"/>
            <c:spPr>
              <a:solidFill>
                <a:srgbClr val="9900CC"/>
              </a:solidFill>
            </c:spPr>
          </c:dPt>
          <c:dPt>
            <c:idx val="4"/>
            <c:spPr>
              <a:solidFill>
                <a:srgbClr val="C8E70F"/>
              </a:solidFill>
            </c:spPr>
          </c:dPt>
          <c:dPt>
            <c:idx val="5"/>
            <c:spPr>
              <a:solidFill>
                <a:srgbClr val="FF9966"/>
              </a:solidFill>
            </c:spPr>
          </c:dPt>
          <c:dPt>
            <c:idx val="7"/>
            <c:spPr>
              <a:solidFill>
                <a:srgbClr val="FFC000"/>
              </a:solidFill>
            </c:spPr>
          </c:dPt>
          <c:dPt>
            <c:idx val="9"/>
            <c:spPr>
              <a:solidFill>
                <a:srgbClr val="7030A0"/>
              </a:solidFill>
            </c:spPr>
          </c:dPt>
          <c:dPt>
            <c:idx val="10"/>
            <c:spPr>
              <a:solidFill>
                <a:srgbClr val="00FFFF"/>
              </a:solidFill>
            </c:spPr>
          </c:dPt>
          <c:dPt>
            <c:idx val="11"/>
            <c:spPr>
              <a:solidFill>
                <a:srgbClr val="FF0066"/>
              </a:solidFill>
            </c:spPr>
          </c:dPt>
          <c:dLbls>
            <c:dLbl>
              <c:idx val="0"/>
              <c:layout>
                <c:manualLayout>
                  <c:x val="7.3395692127811371E-2"/>
                  <c:y val="0.1042162282906128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Освіта; 110 591,7 </a:t>
                    </a:r>
                  </a:p>
                  <a:p>
                    <a:r>
                      <a:rPr lang="ru-RU"/>
                      <a:t>(29%)</a:t>
                    </a:r>
                  </a:p>
                </c:rich>
              </c:tx>
              <c:showVal val="1"/>
              <c:showCatName val="1"/>
            </c:dLbl>
            <c:dLbl>
              <c:idx val="1"/>
              <c:layout>
                <c:manualLayout>
                  <c:x val="3.745278939900494E-2"/>
                  <c:y val="-0.1023298151560841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Функціонування місцевого самоврядування; 19 138,5 (5%)</a:t>
                    </a:r>
                  </a:p>
                </c:rich>
              </c:tx>
              <c:showVal val="1"/>
              <c:showCatName val="1"/>
            </c:dLbl>
            <c:dLbl>
              <c:idx val="2"/>
              <c:layout>
                <c:manualLayout>
                  <c:x val="6.689690569881393E-2"/>
                  <c:y val="-1.18400389824689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Фізична культура та спорт;   2 923,1         </a:t>
                    </a:r>
                  </a:p>
                  <a:p>
                    <a:r>
                      <a:rPr lang="ru-RU"/>
                      <a:t>(0,8%)</a:t>
                    </a:r>
                  </a:p>
                </c:rich>
              </c:tx>
              <c:showVal val="1"/>
              <c:showCatName val="1"/>
            </c:dLbl>
            <c:dLbl>
              <c:idx val="3"/>
              <c:layout>
                <c:manualLayout>
                  <c:x val="0.14737073417662283"/>
                  <c:y val="-3.59173151508086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Соціальний захис та соціальне забезпечення;    </a:t>
                    </a:r>
                  </a:p>
                  <a:p>
                    <a:r>
                      <a:rPr lang="ru-RU"/>
                      <a:t>94 391,3  </a:t>
                    </a:r>
                  </a:p>
                  <a:p>
                    <a:r>
                      <a:rPr lang="ru-RU"/>
                      <a:t>(24,8%)</a:t>
                    </a:r>
                  </a:p>
                </c:rich>
              </c:tx>
              <c:showVal val="1"/>
              <c:showCatName val="1"/>
            </c:dLbl>
            <c:dLbl>
              <c:idx val="4"/>
              <c:layout>
                <c:manualLayout>
                  <c:x val="0.25102378168263717"/>
                  <c:y val="0.1012734771789891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Культура  та мистецтво;   </a:t>
                    </a:r>
                  </a:p>
                  <a:p>
                    <a:r>
                      <a:rPr lang="ru-RU"/>
                      <a:t> 11 364,2 (3%)</a:t>
                    </a:r>
                  </a:p>
                </c:rich>
              </c:tx>
              <c:showVal val="1"/>
              <c:showCatName val="1"/>
            </c:dLbl>
            <c:dLbl>
              <c:idx val="5"/>
              <c:layout>
                <c:manualLayout>
                  <c:x val="0.16896229305343938"/>
                  <c:y val="0.2938698571769442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Житлово-омунальне господатство; 50 719,9 (13,3%)</a:t>
                    </a:r>
                  </a:p>
                </c:rich>
              </c:tx>
              <c:showVal val="1"/>
              <c:showCatName val="1"/>
            </c:dLbl>
            <c:dLbl>
              <c:idx val="6"/>
              <c:layout>
                <c:manualLayout>
                  <c:x val="-0.13400675597712994"/>
                  <c:y val="0.527113883491836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Інші послуги, пов"язані з єкономіною діяльністю;</a:t>
                    </a:r>
                  </a:p>
                  <a:p>
                    <a:r>
                      <a:rPr lang="ru-RU"/>
                      <a:t> 6 718,7 1  (8%)</a:t>
                    </a:r>
                  </a:p>
                </c:rich>
              </c:tx>
              <c:showVal val="1"/>
              <c:showCatName val="1"/>
            </c:dLbl>
            <c:dLbl>
              <c:idx val="7"/>
              <c:layout>
                <c:manualLayout>
                  <c:x val="-0.12165931254550735"/>
                  <c:y val="0.3746502141777735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Субвенція з міського бюджету державному бюджету; 10 130,8 </a:t>
                    </a:r>
                  </a:p>
                  <a:p>
                    <a:r>
                      <a:rPr lang="ru-RU"/>
                      <a:t>(2,7%)</a:t>
                    </a:r>
                  </a:p>
                </c:rich>
              </c:tx>
              <c:showVal val="1"/>
              <c:showCatName val="1"/>
            </c:dLbl>
            <c:dLbl>
              <c:idx val="8"/>
              <c:layout>
                <c:manualLayout>
                  <c:x val="-0.11724142870216009"/>
                  <c:y val="0.2007671768301691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Субвенція за рахунок залишку коштів освітноьї субвенції з державного бюджету місцевим бюджетам; 277,4   (0,1%)</a:t>
                    </a:r>
                  </a:p>
                </c:rich>
              </c:tx>
              <c:showVal val="1"/>
              <c:showCatName val="1"/>
            </c:dLbl>
            <c:dLbl>
              <c:idx val="9"/>
              <c:layout>
                <c:manualLayout>
                  <c:x val="-0.13084696398801587"/>
                  <c:y val="-2.49332469804908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Засоби масової інформації; 1 758,6 (0,5%)</a:t>
                    </a:r>
                  </a:p>
                </c:rich>
              </c:tx>
              <c:showVal val="1"/>
              <c:showCatName val="1"/>
            </c:dLbl>
            <c:dLbl>
              <c:idx val="10"/>
              <c:layout>
                <c:manualLayout>
                  <c:x val="-0.14947531760652219"/>
                  <c:y val="-6.45294338207724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Реверсна  дотація; </a:t>
                    </a:r>
                  </a:p>
                  <a:p>
                    <a:r>
                      <a:rPr lang="ru-RU"/>
                      <a:t>17 073 (4,5%)</a:t>
                    </a:r>
                  </a:p>
                </c:rich>
              </c:tx>
              <c:showVal val="1"/>
              <c:showCatName val="1"/>
            </c:dLbl>
            <c:dLbl>
              <c:idx val="11"/>
              <c:layout>
                <c:manualLayout>
                  <c:x val="-6.3582259392916979E-2"/>
                  <c:y val="2.88491211325856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Інші видатки; 55 489,1 (14,5%)</a:t>
                    </a:r>
                  </a:p>
                </c:rich>
              </c:tx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Лист1!$B$5:$B$16</c:f>
              <c:strCache>
                <c:ptCount val="12"/>
                <c:pt idx="0">
                  <c:v>Освіта</c:v>
                </c:pt>
                <c:pt idx="1">
                  <c:v>Функціонування місцевого самоврядування</c:v>
                </c:pt>
                <c:pt idx="2">
                  <c:v>Фізична культура та спорт</c:v>
                </c:pt>
                <c:pt idx="3">
                  <c:v>Соціальний захис та соціальне забезпечення</c:v>
                </c:pt>
                <c:pt idx="4">
                  <c:v>Культура  та мистецтво</c:v>
                </c:pt>
                <c:pt idx="5">
                  <c:v>Житлово-омунальне господатство</c:v>
                </c:pt>
                <c:pt idx="6">
                  <c:v>Інші послуги, пов"язані з єкономіною діяльністю</c:v>
                </c:pt>
                <c:pt idx="7">
                  <c:v>Субвенція з міського бюджету державному бюджету</c:v>
                </c:pt>
                <c:pt idx="8">
                  <c:v>Субвенція за рахунок залишку коштів освітноьї субвенції з державного бюджету місцевим бюджетам</c:v>
                </c:pt>
                <c:pt idx="9">
                  <c:v>Засоби масової інформації</c:v>
                </c:pt>
                <c:pt idx="10">
                  <c:v>Реверсна дотація</c:v>
                </c:pt>
                <c:pt idx="11">
                  <c:v>Інші видатки</c:v>
                </c:pt>
              </c:strCache>
            </c:strRef>
          </c:cat>
          <c:val>
            <c:numRef>
              <c:f>Лист1!$C$5:$C$16</c:f>
              <c:numCache>
                <c:formatCode>General</c:formatCode>
                <c:ptCount val="12"/>
                <c:pt idx="0">
                  <c:v>110591.7</c:v>
                </c:pt>
                <c:pt idx="1">
                  <c:v>19138.5</c:v>
                </c:pt>
                <c:pt idx="2">
                  <c:v>2923.1</c:v>
                </c:pt>
                <c:pt idx="3">
                  <c:v>94391.3</c:v>
                </c:pt>
                <c:pt idx="4">
                  <c:v>11364.2</c:v>
                </c:pt>
                <c:pt idx="5">
                  <c:v>50719.9</c:v>
                </c:pt>
                <c:pt idx="6">
                  <c:v>6718.7</c:v>
                </c:pt>
                <c:pt idx="7">
                  <c:v>10130.799999999988</c:v>
                </c:pt>
                <c:pt idx="8">
                  <c:v>277.39999999999969</c:v>
                </c:pt>
                <c:pt idx="9">
                  <c:v>1758.6</c:v>
                </c:pt>
                <c:pt idx="10">
                  <c:v>17073</c:v>
                </c:pt>
                <c:pt idx="11">
                  <c:v>55489.1</c:v>
                </c:pt>
              </c:numCache>
            </c:numRef>
          </c:val>
        </c:ser>
        <c:ser>
          <c:idx val="1"/>
          <c:order val="1"/>
          <c:explosion val="25"/>
          <c:dLbls>
            <c:showVal val="1"/>
            <c:showCatName val="1"/>
            <c:showLeaderLines val="1"/>
          </c:dLbls>
          <c:cat>
            <c:strRef>
              <c:f>Лист1!$B$5:$B$16</c:f>
              <c:strCache>
                <c:ptCount val="12"/>
                <c:pt idx="0">
                  <c:v>Освіта</c:v>
                </c:pt>
                <c:pt idx="1">
                  <c:v>Функціонування місцевого самоврядування</c:v>
                </c:pt>
                <c:pt idx="2">
                  <c:v>Фізична культура та спорт</c:v>
                </c:pt>
                <c:pt idx="3">
                  <c:v>Соціальний захис та соціальне забезпечення</c:v>
                </c:pt>
                <c:pt idx="4">
                  <c:v>Культура  та мистецтво</c:v>
                </c:pt>
                <c:pt idx="5">
                  <c:v>Житлово-омунальне господатство</c:v>
                </c:pt>
                <c:pt idx="6">
                  <c:v>Інші послуги, пов"язані з єкономіною діяльністю</c:v>
                </c:pt>
                <c:pt idx="7">
                  <c:v>Субвенція з міського бюджету державному бюджету</c:v>
                </c:pt>
                <c:pt idx="8">
                  <c:v>Субвенція за рахунок залишку коштів освітноьї субвенції з державного бюджету місцевим бюджетам</c:v>
                </c:pt>
                <c:pt idx="9">
                  <c:v>Засоби масової інформації</c:v>
                </c:pt>
                <c:pt idx="10">
                  <c:v>Реверсна дотація</c:v>
                </c:pt>
                <c:pt idx="11">
                  <c:v>Інші видатки</c:v>
                </c:pt>
              </c:strCache>
            </c:strRef>
          </c:cat>
          <c:val>
            <c:numRef>
              <c:f>Лист1!$D$5:$D$16</c:f>
              <c:numCache>
                <c:formatCode>0%</c:formatCode>
                <c:ptCount val="12"/>
                <c:pt idx="0">
                  <c:v>0.29000000000000031</c:v>
                </c:pt>
                <c:pt idx="1">
                  <c:v>0.05</c:v>
                </c:pt>
                <c:pt idx="2" formatCode="0.00%">
                  <c:v>8.0000000000000123E-3</c:v>
                </c:pt>
                <c:pt idx="3" formatCode="0.00%">
                  <c:v>0.24800000000000016</c:v>
                </c:pt>
                <c:pt idx="4">
                  <c:v>3.0000000000000002E-2</c:v>
                </c:pt>
                <c:pt idx="5" formatCode="0.00%">
                  <c:v>0.13300000000000001</c:v>
                </c:pt>
                <c:pt idx="6" formatCode="0.00%">
                  <c:v>1.7999999999999999E-2</c:v>
                </c:pt>
                <c:pt idx="7" formatCode="0.00%">
                  <c:v>2.7000000000000031E-2</c:v>
                </c:pt>
                <c:pt idx="8" formatCode="0.00%">
                  <c:v>1.0000000000000013E-3</c:v>
                </c:pt>
                <c:pt idx="9" formatCode="0.00%">
                  <c:v>0.5</c:v>
                </c:pt>
                <c:pt idx="10" formatCode="0.00%">
                  <c:v>4.5000000000000012E-2</c:v>
                </c:pt>
                <c:pt idx="11" formatCode="0.00%">
                  <c:v>0.14500000000000016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  <c:userShapes r:id="rId2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DCA04C-DFC3-4A1A-8E85-7772D24CBD66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97FC2119-688D-4122-B087-CC29898D7A1E}">
      <dgm:prSet phldrT="[Текст]"/>
      <dgm:spPr/>
      <dgm:t>
        <a:bodyPr/>
        <a:lstStyle/>
        <a:p>
          <a:r>
            <a:rPr lang="uk-UA" b="1"/>
            <a:t>48 %</a:t>
          </a:r>
          <a:endParaRPr lang="ru-RU" b="1"/>
        </a:p>
      </dgm:t>
    </dgm:pt>
    <dgm:pt modelId="{756A8241-ED43-4A0A-A5D4-3DFA4E0FAC60}" type="parTrans" cxnId="{682FBFA4-1186-428C-B398-93670D1364CA}">
      <dgm:prSet/>
      <dgm:spPr/>
      <dgm:t>
        <a:bodyPr/>
        <a:lstStyle/>
        <a:p>
          <a:endParaRPr lang="ru-RU"/>
        </a:p>
      </dgm:t>
    </dgm:pt>
    <dgm:pt modelId="{36541D06-CE76-41F4-8D08-1F38CA8C9C43}" type="sibTrans" cxnId="{682FBFA4-1186-428C-B398-93670D1364CA}">
      <dgm:prSet/>
      <dgm:spPr/>
      <dgm:t>
        <a:bodyPr/>
        <a:lstStyle/>
        <a:p>
          <a:endParaRPr lang="ru-RU"/>
        </a:p>
      </dgm:t>
    </dgm:pt>
    <dgm:pt modelId="{EE92E431-3DDF-4BC6-9D3A-0A6C60C3C42B}">
      <dgm:prSet phldrT="[Текст]"/>
      <dgm:spPr/>
      <dgm:t>
        <a:bodyPr/>
        <a:lstStyle/>
        <a:p>
          <a:r>
            <a:rPr lang="uk-UA"/>
            <a:t>8,1 млн.грн. - акцизний податок від реалізації пального </a:t>
          </a:r>
          <a:endParaRPr lang="ru-RU"/>
        </a:p>
      </dgm:t>
    </dgm:pt>
    <dgm:pt modelId="{D5575125-C17F-40B6-9FA3-79B8F92C1440}" type="parTrans" cxnId="{5F95C0E3-DC48-496C-9117-43E801EEE57D}">
      <dgm:prSet/>
      <dgm:spPr/>
      <dgm:t>
        <a:bodyPr/>
        <a:lstStyle/>
        <a:p>
          <a:endParaRPr lang="ru-RU"/>
        </a:p>
      </dgm:t>
    </dgm:pt>
    <dgm:pt modelId="{164F1A3D-D4AE-47FE-BB0B-BA891A2163A9}" type="sibTrans" cxnId="{5F95C0E3-DC48-496C-9117-43E801EEE57D}">
      <dgm:prSet/>
      <dgm:spPr/>
      <dgm:t>
        <a:bodyPr/>
        <a:lstStyle/>
        <a:p>
          <a:endParaRPr lang="ru-RU"/>
        </a:p>
      </dgm:t>
    </dgm:pt>
    <dgm:pt modelId="{6927A13F-2628-4A20-BF11-116A98AD5AB1}">
      <dgm:prSet phldrT="[Текст]"/>
      <dgm:spPr/>
      <dgm:t>
        <a:bodyPr/>
        <a:lstStyle/>
        <a:p>
          <a:r>
            <a:rPr lang="uk-UA" b="1"/>
            <a:t>52 %</a:t>
          </a:r>
          <a:endParaRPr lang="ru-RU" b="1"/>
        </a:p>
      </dgm:t>
    </dgm:pt>
    <dgm:pt modelId="{7C4EE3DF-DEB8-400F-8346-97A3BCF2EEFA}" type="parTrans" cxnId="{4B1B9FDA-6E3B-416E-86B8-84EEFE0D28A0}">
      <dgm:prSet/>
      <dgm:spPr/>
      <dgm:t>
        <a:bodyPr/>
        <a:lstStyle/>
        <a:p>
          <a:endParaRPr lang="ru-RU"/>
        </a:p>
      </dgm:t>
    </dgm:pt>
    <dgm:pt modelId="{13CB4AE6-8FF7-4A02-8459-1200B0CFE1D0}" type="sibTrans" cxnId="{4B1B9FDA-6E3B-416E-86B8-84EEFE0D28A0}">
      <dgm:prSet/>
      <dgm:spPr/>
      <dgm:t>
        <a:bodyPr/>
        <a:lstStyle/>
        <a:p>
          <a:endParaRPr lang="ru-RU"/>
        </a:p>
      </dgm:t>
    </dgm:pt>
    <dgm:pt modelId="{DEBDC31C-E6D2-46E6-B99E-6205354E3F2A}">
      <dgm:prSet phldrT="[Текст]"/>
      <dgm:spPr/>
      <dgm:t>
        <a:bodyPr/>
        <a:lstStyle/>
        <a:p>
          <a:r>
            <a:rPr lang="uk-UA"/>
            <a:t>8,7 млн.грн. - акцизний податок від реалізації алкогольних та тютюнових виробів</a:t>
          </a:r>
          <a:endParaRPr lang="ru-RU"/>
        </a:p>
      </dgm:t>
    </dgm:pt>
    <dgm:pt modelId="{E1E1B983-29E4-472A-B114-128F2BC1118D}" type="parTrans" cxnId="{A2C718C3-ABE6-4667-AFAB-231B46ACC99B}">
      <dgm:prSet/>
      <dgm:spPr/>
      <dgm:t>
        <a:bodyPr/>
        <a:lstStyle/>
        <a:p>
          <a:endParaRPr lang="ru-RU"/>
        </a:p>
      </dgm:t>
    </dgm:pt>
    <dgm:pt modelId="{959CE531-0D97-4230-8FBD-AF2D22C82C1A}" type="sibTrans" cxnId="{A2C718C3-ABE6-4667-AFAB-231B46ACC99B}">
      <dgm:prSet/>
      <dgm:spPr/>
      <dgm:t>
        <a:bodyPr/>
        <a:lstStyle/>
        <a:p>
          <a:endParaRPr lang="ru-RU"/>
        </a:p>
      </dgm:t>
    </dgm:pt>
    <dgm:pt modelId="{32E058C5-A774-40C3-A35B-5E0409B1B8E5}" type="pres">
      <dgm:prSet presAssocID="{E3DCA04C-DFC3-4A1A-8E85-7772D24CBD66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4059CB8-1E9D-4D43-AC40-AA559EEA9B53}" type="pres">
      <dgm:prSet presAssocID="{97FC2119-688D-4122-B087-CC29898D7A1E}" presName="composite" presStyleCnt="0"/>
      <dgm:spPr/>
    </dgm:pt>
    <dgm:pt modelId="{A36200D0-32F5-4711-9CB6-795BB672262D}" type="pres">
      <dgm:prSet presAssocID="{97FC2119-688D-4122-B087-CC29898D7A1E}" presName="parentText" presStyleLbl="alignNode1" presStyleIdx="0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22DE821-4374-4C27-809B-62D729D755E2}" type="pres">
      <dgm:prSet presAssocID="{97FC2119-688D-4122-B087-CC29898D7A1E}" presName="descendantText" presStyleLbl="alignAcc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1AEDBF5-D8A8-434C-A44C-678FBE2F42C0}" type="pres">
      <dgm:prSet presAssocID="{36541D06-CE76-41F4-8D08-1F38CA8C9C43}" presName="sp" presStyleCnt="0"/>
      <dgm:spPr/>
    </dgm:pt>
    <dgm:pt modelId="{6C823D9D-7B09-4A35-A358-4811E1340992}" type="pres">
      <dgm:prSet presAssocID="{6927A13F-2628-4A20-BF11-116A98AD5AB1}" presName="composite" presStyleCnt="0"/>
      <dgm:spPr/>
    </dgm:pt>
    <dgm:pt modelId="{C0330F27-E20D-45AB-8191-1F275B38546E}" type="pres">
      <dgm:prSet presAssocID="{6927A13F-2628-4A20-BF11-116A98AD5AB1}" presName="parentText" presStyleLbl="alignNode1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917AFA-CE1A-48DE-BC1A-70251E318A21}" type="pres">
      <dgm:prSet presAssocID="{6927A13F-2628-4A20-BF11-116A98AD5AB1}" presName="descendantText" presStyleLbl="alignAcc1" presStyleIdx="1" presStyleCnt="2" custLinFactNeighborX="0" custLinFactNeighborY="-122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4B7A53C-2145-413F-8264-B6BE521D6875}" type="presOf" srcId="{E3DCA04C-DFC3-4A1A-8E85-7772D24CBD66}" destId="{32E058C5-A774-40C3-A35B-5E0409B1B8E5}" srcOrd="0" destOrd="0" presId="urn:microsoft.com/office/officeart/2005/8/layout/chevron2"/>
    <dgm:cxn modelId="{0BA82893-6319-477C-B5FA-447EEDFAC629}" type="presOf" srcId="{EE92E431-3DDF-4BC6-9D3A-0A6C60C3C42B}" destId="{322DE821-4374-4C27-809B-62D729D755E2}" srcOrd="0" destOrd="0" presId="urn:microsoft.com/office/officeart/2005/8/layout/chevron2"/>
    <dgm:cxn modelId="{1797C4B0-DC94-485F-BE2B-08EE96F357B3}" type="presOf" srcId="{DEBDC31C-E6D2-46E6-B99E-6205354E3F2A}" destId="{D4917AFA-CE1A-48DE-BC1A-70251E318A21}" srcOrd="0" destOrd="0" presId="urn:microsoft.com/office/officeart/2005/8/layout/chevron2"/>
    <dgm:cxn modelId="{682FBFA4-1186-428C-B398-93670D1364CA}" srcId="{E3DCA04C-DFC3-4A1A-8E85-7772D24CBD66}" destId="{97FC2119-688D-4122-B087-CC29898D7A1E}" srcOrd="0" destOrd="0" parTransId="{756A8241-ED43-4A0A-A5D4-3DFA4E0FAC60}" sibTransId="{36541D06-CE76-41F4-8D08-1F38CA8C9C43}"/>
    <dgm:cxn modelId="{D5DDB326-E217-4E22-B1A9-91AF953E2F61}" type="presOf" srcId="{6927A13F-2628-4A20-BF11-116A98AD5AB1}" destId="{C0330F27-E20D-45AB-8191-1F275B38546E}" srcOrd="0" destOrd="0" presId="urn:microsoft.com/office/officeart/2005/8/layout/chevron2"/>
    <dgm:cxn modelId="{A2C718C3-ABE6-4667-AFAB-231B46ACC99B}" srcId="{6927A13F-2628-4A20-BF11-116A98AD5AB1}" destId="{DEBDC31C-E6D2-46E6-B99E-6205354E3F2A}" srcOrd="0" destOrd="0" parTransId="{E1E1B983-29E4-472A-B114-128F2BC1118D}" sibTransId="{959CE531-0D97-4230-8FBD-AF2D22C82C1A}"/>
    <dgm:cxn modelId="{5F95C0E3-DC48-496C-9117-43E801EEE57D}" srcId="{97FC2119-688D-4122-B087-CC29898D7A1E}" destId="{EE92E431-3DDF-4BC6-9D3A-0A6C60C3C42B}" srcOrd="0" destOrd="0" parTransId="{D5575125-C17F-40B6-9FA3-79B8F92C1440}" sibTransId="{164F1A3D-D4AE-47FE-BB0B-BA891A2163A9}"/>
    <dgm:cxn modelId="{4B1B9FDA-6E3B-416E-86B8-84EEFE0D28A0}" srcId="{E3DCA04C-DFC3-4A1A-8E85-7772D24CBD66}" destId="{6927A13F-2628-4A20-BF11-116A98AD5AB1}" srcOrd="1" destOrd="0" parTransId="{7C4EE3DF-DEB8-400F-8346-97A3BCF2EEFA}" sibTransId="{13CB4AE6-8FF7-4A02-8459-1200B0CFE1D0}"/>
    <dgm:cxn modelId="{1B4BA6A6-6831-4EC8-A13E-3EA965AB60CB}" type="presOf" srcId="{97FC2119-688D-4122-B087-CC29898D7A1E}" destId="{A36200D0-32F5-4711-9CB6-795BB672262D}" srcOrd="0" destOrd="0" presId="urn:microsoft.com/office/officeart/2005/8/layout/chevron2"/>
    <dgm:cxn modelId="{1B48881F-5C76-4711-8762-A5FCF99EE8F7}" type="presParOf" srcId="{32E058C5-A774-40C3-A35B-5E0409B1B8E5}" destId="{E4059CB8-1E9D-4D43-AC40-AA559EEA9B53}" srcOrd="0" destOrd="0" presId="urn:microsoft.com/office/officeart/2005/8/layout/chevron2"/>
    <dgm:cxn modelId="{ECAAE7E7-7114-4F5D-9706-1F75EEB7E1EE}" type="presParOf" srcId="{E4059CB8-1E9D-4D43-AC40-AA559EEA9B53}" destId="{A36200D0-32F5-4711-9CB6-795BB672262D}" srcOrd="0" destOrd="0" presId="urn:microsoft.com/office/officeart/2005/8/layout/chevron2"/>
    <dgm:cxn modelId="{54583165-DE67-48EA-B1C0-C235C08F23EA}" type="presParOf" srcId="{E4059CB8-1E9D-4D43-AC40-AA559EEA9B53}" destId="{322DE821-4374-4C27-809B-62D729D755E2}" srcOrd="1" destOrd="0" presId="urn:microsoft.com/office/officeart/2005/8/layout/chevron2"/>
    <dgm:cxn modelId="{6203FB97-D393-489F-94A4-9EB25C42F76C}" type="presParOf" srcId="{32E058C5-A774-40C3-A35B-5E0409B1B8E5}" destId="{41AEDBF5-D8A8-434C-A44C-678FBE2F42C0}" srcOrd="1" destOrd="0" presId="urn:microsoft.com/office/officeart/2005/8/layout/chevron2"/>
    <dgm:cxn modelId="{A5AB20E0-162D-4E27-8BE9-889EB19101A1}" type="presParOf" srcId="{32E058C5-A774-40C3-A35B-5E0409B1B8E5}" destId="{6C823D9D-7B09-4A35-A358-4811E1340992}" srcOrd="2" destOrd="0" presId="urn:microsoft.com/office/officeart/2005/8/layout/chevron2"/>
    <dgm:cxn modelId="{D2AC8241-67B0-46AC-96DC-9A842694DF63}" type="presParOf" srcId="{6C823D9D-7B09-4A35-A358-4811E1340992}" destId="{C0330F27-E20D-45AB-8191-1F275B38546E}" srcOrd="0" destOrd="0" presId="urn:microsoft.com/office/officeart/2005/8/layout/chevron2"/>
    <dgm:cxn modelId="{F64A78DD-EEB3-4D3D-B7D8-25B1CB9C35BE}" type="presParOf" srcId="{6C823D9D-7B09-4A35-A358-4811E1340992}" destId="{D4917AFA-CE1A-48DE-BC1A-70251E318A2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36200D0-32F5-4711-9CB6-795BB672262D}">
      <dsp:nvSpPr>
        <dsp:cNvPr id="0" name=""/>
        <dsp:cNvSpPr/>
      </dsp:nvSpPr>
      <dsp:spPr>
        <a:xfrm rot="5400000">
          <a:off x="-90184" y="90247"/>
          <a:ext cx="601228" cy="42085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b="1" kern="1200"/>
            <a:t>48 %</a:t>
          </a:r>
          <a:endParaRPr lang="ru-RU" sz="1100" b="1" kern="1200"/>
        </a:p>
      </dsp:txBody>
      <dsp:txXfrm rot="5400000">
        <a:off x="-90184" y="90247"/>
        <a:ext cx="601228" cy="420859"/>
      </dsp:txXfrm>
    </dsp:sp>
    <dsp:sp modelId="{322DE821-4374-4C27-809B-62D729D755E2}">
      <dsp:nvSpPr>
        <dsp:cNvPr id="0" name=""/>
        <dsp:cNvSpPr/>
      </dsp:nvSpPr>
      <dsp:spPr>
        <a:xfrm rot="5400000">
          <a:off x="2758230" y="-2337307"/>
          <a:ext cx="390798" cy="506554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/>
            <a:t>8,1 млн.грн. - акцизний податок від реалізації пального </a:t>
          </a:r>
          <a:endParaRPr lang="ru-RU" sz="1200" kern="1200"/>
        </a:p>
      </dsp:txBody>
      <dsp:txXfrm rot="5400000">
        <a:off x="2758230" y="-2337307"/>
        <a:ext cx="390798" cy="5065540"/>
      </dsp:txXfrm>
    </dsp:sp>
    <dsp:sp modelId="{C0330F27-E20D-45AB-8191-1F275B38546E}">
      <dsp:nvSpPr>
        <dsp:cNvPr id="0" name=""/>
        <dsp:cNvSpPr/>
      </dsp:nvSpPr>
      <dsp:spPr>
        <a:xfrm rot="5400000">
          <a:off x="-90184" y="565217"/>
          <a:ext cx="601228" cy="42085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b="1" kern="1200"/>
            <a:t>52 %</a:t>
          </a:r>
          <a:endParaRPr lang="ru-RU" sz="1100" b="1" kern="1200"/>
        </a:p>
      </dsp:txBody>
      <dsp:txXfrm rot="5400000">
        <a:off x="-90184" y="565217"/>
        <a:ext cx="601228" cy="420859"/>
      </dsp:txXfrm>
    </dsp:sp>
    <dsp:sp modelId="{D4917AFA-CE1A-48DE-BC1A-70251E318A21}">
      <dsp:nvSpPr>
        <dsp:cNvPr id="0" name=""/>
        <dsp:cNvSpPr/>
      </dsp:nvSpPr>
      <dsp:spPr>
        <a:xfrm rot="5400000">
          <a:off x="2758230" y="-1867108"/>
          <a:ext cx="390798" cy="506554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/>
            <a:t>8,7 млн.грн. - акцизний податок від реалізації алкогольних та тютюнових виробів</a:t>
          </a:r>
          <a:endParaRPr lang="ru-RU" sz="1200" kern="1200"/>
        </a:p>
      </dsp:txBody>
      <dsp:txXfrm rot="5400000">
        <a:off x="2758230" y="-1867108"/>
        <a:ext cx="390798" cy="50655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0.37838</cdr:x>
      <cdr:y>0.31022</cdr:y>
    </cdr:from>
    <cdr:to>
      <cdr:x>0.64229</cdr:x>
      <cdr:y>0.43796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266950" y="809625"/>
          <a:ext cx="1581150" cy="333375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0.38064</cdr:x>
      <cdr:y>0.27012</cdr:y>
    </cdr:from>
    <cdr:to>
      <cdr:x>0.64122</cdr:x>
      <cdr:y>0.38014</cdr:y>
    </cdr:to>
    <cdr:sp macro="" textlink="">
      <cdr:nvSpPr>
        <cdr:cNvPr id="4" name="TextBox 3"/>
        <cdr:cNvSpPr txBox="1"/>
      </cdr:nvSpPr>
      <cdr:spPr>
        <a:xfrm xmlns:a="http://schemas.openxmlformats.org/drawingml/2006/main" rot="20793992">
          <a:off x="2280489" y="704975"/>
          <a:ext cx="1561197" cy="2871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141,5 % (+125,4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0.36458</cdr:x>
      <cdr:y>0.31845</cdr:y>
    </cdr:from>
    <cdr:to>
      <cdr:x>0.61458</cdr:x>
      <cdr:y>0.41964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000250" y="1019175"/>
          <a:ext cx="1371600" cy="323850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0.33827</cdr:x>
      <cdr:y>0.27051</cdr:y>
    </cdr:from>
    <cdr:to>
      <cdr:x>0.63276</cdr:x>
      <cdr:y>0.35248</cdr:y>
    </cdr:to>
    <cdr:sp macro="" textlink="">
      <cdr:nvSpPr>
        <cdr:cNvPr id="4" name="TextBox 1"/>
        <cdr:cNvSpPr txBox="1"/>
      </cdr:nvSpPr>
      <cdr:spPr>
        <a:xfrm xmlns:a="http://schemas.openxmlformats.org/drawingml/2006/main" rot="20907331">
          <a:off x="1997683" y="865725"/>
          <a:ext cx="1739107" cy="2623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146,1 % (+47,3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0.31833</cdr:x>
      <cdr:y>0.2963</cdr:y>
    </cdr:from>
    <cdr:to>
      <cdr:x>0.3955</cdr:x>
      <cdr:y>0.40404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85962" y="838200"/>
          <a:ext cx="457198" cy="304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61,2</a:t>
          </a:r>
          <a:endParaRPr lang="ru-RU" sz="1400" b="1"/>
        </a:p>
      </cdr:txBody>
    </cdr:sp>
  </cdr:relSizeAnchor>
  <cdr:relSizeAnchor xmlns:cdr="http://schemas.openxmlformats.org/drawingml/2006/chartDrawing">
    <cdr:from>
      <cdr:x>0.62862</cdr:x>
      <cdr:y>0.19192</cdr:y>
    </cdr:from>
    <cdr:to>
      <cdr:x>0.7299</cdr:x>
      <cdr:y>0.2963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724274" y="542925"/>
          <a:ext cx="600075" cy="2952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91,3</a:t>
          </a:r>
          <a:endParaRPr lang="ru-RU" sz="1400" b="1"/>
        </a:p>
      </cdr:txBody>
    </cdr:sp>
  </cdr:relSizeAnchor>
  <cdr:relSizeAnchor xmlns:cdr="http://schemas.openxmlformats.org/drawingml/2006/chartDrawing">
    <cdr:from>
      <cdr:x>0.41318</cdr:x>
      <cdr:y>0.27273</cdr:y>
    </cdr:from>
    <cdr:to>
      <cdr:x>0.60289</cdr:x>
      <cdr:y>0.367</cdr:y>
    </cdr:to>
    <cdr:sp macro="" textlink="">
      <cdr:nvSpPr>
        <cdr:cNvPr id="4" name="Прямая со стрелкой 3"/>
        <cdr:cNvSpPr/>
      </cdr:nvSpPr>
      <cdr:spPr>
        <a:xfrm xmlns:a="http://schemas.openxmlformats.org/drawingml/2006/main" flipV="1">
          <a:off x="2447926" y="771525"/>
          <a:ext cx="1123950" cy="266700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25400" cap="flat" cmpd="dbl" algn="ctr">
          <a:solidFill>
            <a:srgbClr val="FF0000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0.39177</cdr:x>
      <cdr:y>0.20553</cdr:y>
    </cdr:from>
    <cdr:to>
      <cdr:x>0.68072</cdr:x>
      <cdr:y>0.29057</cdr:y>
    </cdr:to>
    <cdr:sp macro="" textlink="">
      <cdr:nvSpPr>
        <cdr:cNvPr id="5" name="TextBox 1"/>
        <cdr:cNvSpPr txBox="1"/>
      </cdr:nvSpPr>
      <cdr:spPr>
        <a:xfrm xmlns:a="http://schemas.openxmlformats.org/drawingml/2006/main" rot="20761991">
          <a:off x="2321065" y="581421"/>
          <a:ext cx="1711899" cy="24057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149,2 % (+30,1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0.07128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7895004" cy="298730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09B8D-0807-4806-BF3B-677B1B3B6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15148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7</cp:revision>
  <cp:lastPrinted>2016-10-11T05:30:00Z</cp:lastPrinted>
  <dcterms:created xsi:type="dcterms:W3CDTF">2016-10-11T10:14:00Z</dcterms:created>
  <dcterms:modified xsi:type="dcterms:W3CDTF">2016-10-12T12:37:00Z</dcterms:modified>
</cp:coreProperties>
</file>