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74" w:rsidRDefault="00AB6974" w:rsidP="00AB697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Інформація фінансового управління Чорноморської міської ради </w:t>
      </w:r>
    </w:p>
    <w:p w:rsidR="00AB6974" w:rsidRDefault="00AB6974" w:rsidP="00AB697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виконання  бюджету міста Чорноморська </w:t>
      </w:r>
    </w:p>
    <w:p w:rsidR="00AB6974" w:rsidRDefault="00AB6974" w:rsidP="00AB6974">
      <w:pPr>
        <w:jc w:val="center"/>
        <w:rPr>
          <w:b/>
          <w:sz w:val="26"/>
          <w:szCs w:val="26"/>
          <w:lang w:val="uk-UA"/>
        </w:rPr>
      </w:pPr>
      <w:r w:rsidRPr="000A187C">
        <w:rPr>
          <w:b/>
          <w:sz w:val="26"/>
          <w:szCs w:val="26"/>
          <w:lang w:val="uk-UA"/>
        </w:rPr>
        <w:t xml:space="preserve">за  </w:t>
      </w:r>
      <w:r>
        <w:rPr>
          <w:b/>
          <w:sz w:val="26"/>
          <w:szCs w:val="26"/>
          <w:lang w:val="uk-UA"/>
        </w:rPr>
        <w:t>січень - березень 2017</w:t>
      </w:r>
      <w:r w:rsidRPr="000A187C">
        <w:rPr>
          <w:b/>
          <w:sz w:val="26"/>
          <w:szCs w:val="26"/>
          <w:lang w:val="uk-UA"/>
        </w:rPr>
        <w:t xml:space="preserve"> р</w:t>
      </w:r>
      <w:r>
        <w:rPr>
          <w:b/>
          <w:sz w:val="26"/>
          <w:szCs w:val="26"/>
          <w:lang w:val="uk-UA"/>
        </w:rPr>
        <w:t xml:space="preserve">оку </w:t>
      </w:r>
    </w:p>
    <w:p w:rsidR="00AB6974" w:rsidRPr="000A187C" w:rsidRDefault="00AB6974" w:rsidP="00AB6974">
      <w:pPr>
        <w:jc w:val="center"/>
        <w:rPr>
          <w:b/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Надходження до міського</w:t>
      </w:r>
      <w:r w:rsidRPr="001347F8">
        <w:rPr>
          <w:b/>
          <w:sz w:val="26"/>
          <w:szCs w:val="26"/>
          <w:lang w:val="uk-UA"/>
        </w:rPr>
        <w:t xml:space="preserve"> бюджет</w:t>
      </w:r>
      <w:r>
        <w:rPr>
          <w:b/>
          <w:sz w:val="26"/>
          <w:szCs w:val="26"/>
          <w:lang w:val="uk-UA"/>
        </w:rPr>
        <w:t>у</w:t>
      </w:r>
      <w:r w:rsidRPr="001347F8">
        <w:rPr>
          <w:b/>
          <w:sz w:val="26"/>
          <w:szCs w:val="26"/>
          <w:lang w:val="uk-UA"/>
        </w:rPr>
        <w:t xml:space="preserve"> міста </w:t>
      </w:r>
      <w:r>
        <w:rPr>
          <w:b/>
          <w:sz w:val="26"/>
          <w:szCs w:val="26"/>
          <w:lang w:val="uk-UA"/>
        </w:rPr>
        <w:t>Чорноморська</w:t>
      </w:r>
      <w:r w:rsidRPr="001347F8">
        <w:rPr>
          <w:sz w:val="26"/>
          <w:szCs w:val="26"/>
          <w:lang w:val="uk-UA"/>
        </w:rPr>
        <w:t xml:space="preserve"> за </w:t>
      </w:r>
      <w:r>
        <w:rPr>
          <w:sz w:val="26"/>
          <w:szCs w:val="26"/>
          <w:lang w:val="uk-UA"/>
        </w:rPr>
        <w:t xml:space="preserve">січень - березень  </w:t>
      </w:r>
      <w:r w:rsidRPr="001347F8">
        <w:rPr>
          <w:sz w:val="26"/>
          <w:szCs w:val="26"/>
          <w:lang w:val="uk-UA"/>
        </w:rPr>
        <w:t>201</w:t>
      </w:r>
      <w:r>
        <w:rPr>
          <w:sz w:val="26"/>
          <w:szCs w:val="26"/>
          <w:lang w:val="uk-UA"/>
        </w:rPr>
        <w:t>7</w:t>
      </w:r>
      <w:r w:rsidRPr="001347F8">
        <w:rPr>
          <w:sz w:val="26"/>
          <w:szCs w:val="26"/>
          <w:lang w:val="uk-UA"/>
        </w:rPr>
        <w:t xml:space="preserve"> р</w:t>
      </w:r>
      <w:r>
        <w:rPr>
          <w:sz w:val="26"/>
          <w:szCs w:val="26"/>
          <w:lang w:val="uk-UA"/>
        </w:rPr>
        <w:t>оку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склали 183 617,4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грн., </w:t>
      </w:r>
      <w:r>
        <w:rPr>
          <w:sz w:val="26"/>
          <w:szCs w:val="26"/>
          <w:lang w:val="uk-UA"/>
        </w:rPr>
        <w:t>а це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26,6 % до уточненого річного плану та 108,2 </w:t>
      </w:r>
      <w:r w:rsidRPr="001347F8">
        <w:rPr>
          <w:sz w:val="26"/>
          <w:szCs w:val="26"/>
          <w:lang w:val="uk-UA"/>
        </w:rPr>
        <w:t xml:space="preserve">% </w:t>
      </w:r>
      <w:r>
        <w:rPr>
          <w:sz w:val="26"/>
          <w:szCs w:val="26"/>
          <w:lang w:val="uk-UA"/>
        </w:rPr>
        <w:t xml:space="preserve">до плану звітного періоду. </w:t>
      </w:r>
      <w:r w:rsidR="00AD5A63">
        <w:rPr>
          <w:sz w:val="26"/>
          <w:szCs w:val="26"/>
          <w:lang w:val="uk-UA"/>
        </w:rPr>
        <w:t xml:space="preserve">Додатково до плану надійшло 13 957,9 </w:t>
      </w:r>
      <w:proofErr w:type="spellStart"/>
      <w:r w:rsidR="00AD5A63">
        <w:rPr>
          <w:sz w:val="26"/>
          <w:szCs w:val="26"/>
          <w:lang w:val="uk-UA"/>
        </w:rPr>
        <w:t>тис.грн</w:t>
      </w:r>
      <w:proofErr w:type="spellEnd"/>
      <w:r w:rsidR="00AD5A63">
        <w:rPr>
          <w:sz w:val="26"/>
          <w:szCs w:val="26"/>
          <w:lang w:val="uk-UA"/>
        </w:rPr>
        <w:t xml:space="preserve">. </w:t>
      </w:r>
      <w:r w:rsidRPr="001347F8">
        <w:rPr>
          <w:sz w:val="26"/>
          <w:szCs w:val="26"/>
          <w:lang w:val="uk-UA"/>
        </w:rPr>
        <w:t xml:space="preserve">В порівнянні  з </w:t>
      </w:r>
      <w:r>
        <w:rPr>
          <w:sz w:val="26"/>
          <w:szCs w:val="26"/>
          <w:lang w:val="uk-UA"/>
        </w:rPr>
        <w:t xml:space="preserve">аналогічним періодом минулого року надходження до </w:t>
      </w:r>
      <w:r w:rsidRPr="001347F8">
        <w:rPr>
          <w:sz w:val="26"/>
          <w:szCs w:val="26"/>
          <w:lang w:val="uk-UA"/>
        </w:rPr>
        <w:t xml:space="preserve">міського бюджету  збільшились на </w:t>
      </w:r>
      <w:r>
        <w:rPr>
          <w:sz w:val="26"/>
          <w:szCs w:val="26"/>
          <w:lang w:val="uk-UA"/>
        </w:rPr>
        <w:t>55 846,3 тис</w:t>
      </w:r>
      <w:r w:rsidRPr="001347F8">
        <w:rPr>
          <w:sz w:val="26"/>
          <w:szCs w:val="26"/>
          <w:lang w:val="uk-UA"/>
        </w:rPr>
        <w:t xml:space="preserve">. грн., або на </w:t>
      </w:r>
      <w:r>
        <w:rPr>
          <w:sz w:val="26"/>
          <w:szCs w:val="26"/>
          <w:lang w:val="uk-UA"/>
        </w:rPr>
        <w:t>43,7</w:t>
      </w:r>
      <w:r w:rsidRPr="001347F8">
        <w:rPr>
          <w:sz w:val="26"/>
          <w:szCs w:val="26"/>
          <w:lang w:val="uk-UA"/>
        </w:rPr>
        <w:t xml:space="preserve"> %.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E85756">
        <w:rPr>
          <w:noProof/>
          <w:sz w:val="26"/>
          <w:szCs w:val="26"/>
        </w:rPr>
        <w:drawing>
          <wp:inline distT="0" distB="0" distL="0" distR="0">
            <wp:extent cx="5940425" cy="2181225"/>
            <wp:effectExtent l="19050" t="0" r="22225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tabs>
          <w:tab w:val="left" w:pos="284"/>
        </w:tabs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   В загальних обсягах надходжень до міського бюджету </w:t>
      </w:r>
      <w:r w:rsidRPr="00B67AD2">
        <w:rPr>
          <w:b/>
          <w:sz w:val="26"/>
          <w:szCs w:val="26"/>
          <w:lang w:val="uk-UA"/>
        </w:rPr>
        <w:t>субвенції</w:t>
      </w:r>
      <w:r w:rsidRPr="001347F8">
        <w:rPr>
          <w:sz w:val="26"/>
          <w:szCs w:val="26"/>
          <w:lang w:val="uk-UA"/>
        </w:rPr>
        <w:t xml:space="preserve"> з державного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>бюджет</w:t>
      </w:r>
      <w:r>
        <w:rPr>
          <w:sz w:val="26"/>
          <w:szCs w:val="26"/>
          <w:lang w:val="uk-UA"/>
        </w:rPr>
        <w:t>у</w:t>
      </w:r>
      <w:r w:rsidRPr="001347F8">
        <w:rPr>
          <w:sz w:val="26"/>
          <w:szCs w:val="26"/>
          <w:lang w:val="uk-UA"/>
        </w:rPr>
        <w:t xml:space="preserve"> складають</w:t>
      </w:r>
      <w:r>
        <w:rPr>
          <w:sz w:val="26"/>
          <w:szCs w:val="26"/>
          <w:lang w:val="uk-UA"/>
        </w:rPr>
        <w:t xml:space="preserve"> 68 516,6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грн., із яких </w:t>
      </w:r>
      <w:r>
        <w:rPr>
          <w:sz w:val="26"/>
          <w:szCs w:val="26"/>
          <w:lang w:val="uk-UA"/>
        </w:rPr>
        <w:t>:</w:t>
      </w:r>
    </w:p>
    <w:p w:rsidR="00AB6974" w:rsidRDefault="00AB6974" w:rsidP="00AB6974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 w:rsidRPr="00E85756">
        <w:rPr>
          <w:sz w:val="26"/>
          <w:szCs w:val="26"/>
          <w:lang w:val="uk-UA"/>
        </w:rPr>
        <w:t xml:space="preserve">- на здійснення державних програм соціального захисту - 36 278,5 тис. грн. </w:t>
      </w:r>
      <w:r>
        <w:rPr>
          <w:sz w:val="26"/>
          <w:szCs w:val="26"/>
          <w:lang w:val="uk-UA"/>
        </w:rPr>
        <w:t xml:space="preserve">                        </w:t>
      </w:r>
      <w:r w:rsidRPr="00E85756">
        <w:rPr>
          <w:sz w:val="26"/>
          <w:szCs w:val="26"/>
          <w:lang w:val="uk-UA"/>
        </w:rPr>
        <w:t>( + 12 381,1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до аналогічного періоду минулого року, темп росту - 151,8 %, виконання плану 1 кварталу 2017р. - 99,96 %, річного уточненого плану - 39,4 %));</w:t>
      </w:r>
    </w:p>
    <w:p w:rsidR="00AB6974" w:rsidRDefault="00AB6974" w:rsidP="00AB6974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BB733A">
        <w:rPr>
          <w:sz w:val="26"/>
          <w:szCs w:val="26"/>
          <w:lang w:val="uk-UA"/>
        </w:rPr>
        <w:t>освітня субвенція</w:t>
      </w:r>
      <w:r>
        <w:rPr>
          <w:sz w:val="26"/>
          <w:szCs w:val="26"/>
          <w:lang w:val="uk-UA"/>
        </w:rPr>
        <w:t xml:space="preserve"> - 16 966,8</w:t>
      </w:r>
      <w:r w:rsidRPr="00BB733A">
        <w:rPr>
          <w:sz w:val="26"/>
          <w:szCs w:val="26"/>
          <w:lang w:val="uk-UA"/>
        </w:rPr>
        <w:t xml:space="preserve"> тис. грн.</w:t>
      </w:r>
      <w:r w:rsidRPr="00E8575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 + 3 299,1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до аналогічного періоду минулого року, темп росту - 124,1 %, виконання плану 1 кварталу 2017р. - 100 %, річного уточненого плану - 23,1 %);</w:t>
      </w:r>
    </w:p>
    <w:p w:rsidR="00AB6974" w:rsidRDefault="00AB6974" w:rsidP="00AB6974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 w:rsidRPr="00BB733A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 xml:space="preserve"> медична субвенція - 15 271,3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(новий вид надходжень у 2017 році, виконання плану 1 кварталу 2017р. - 100 %, річного плану - 25,0 %).</w:t>
      </w:r>
    </w:p>
    <w:p w:rsidR="00AB6974" w:rsidRDefault="00AB6974" w:rsidP="00AB6974">
      <w:pPr>
        <w:tabs>
          <w:tab w:val="left" w:pos="284"/>
        </w:tabs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E85756">
        <w:rPr>
          <w:noProof/>
          <w:sz w:val="26"/>
          <w:szCs w:val="26"/>
        </w:rPr>
        <w:drawing>
          <wp:inline distT="0" distB="0" distL="0" distR="0">
            <wp:extent cx="5940425" cy="3314927"/>
            <wp:effectExtent l="19050" t="0" r="22225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Pr="001347F8" w:rsidRDefault="00AB6974" w:rsidP="00AB6974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lastRenderedPageBreak/>
        <w:t xml:space="preserve">    </w:t>
      </w:r>
      <w:r w:rsidRPr="001347F8">
        <w:rPr>
          <w:b/>
          <w:sz w:val="26"/>
          <w:szCs w:val="26"/>
          <w:lang w:val="uk-UA"/>
        </w:rPr>
        <w:t>До загального фонду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міського </w:t>
      </w:r>
      <w:r w:rsidRPr="001347F8">
        <w:rPr>
          <w:sz w:val="26"/>
          <w:szCs w:val="26"/>
          <w:lang w:val="uk-UA"/>
        </w:rPr>
        <w:t xml:space="preserve">бюджету міста </w:t>
      </w:r>
      <w:r>
        <w:rPr>
          <w:sz w:val="26"/>
          <w:szCs w:val="26"/>
          <w:lang w:val="uk-UA"/>
        </w:rPr>
        <w:t>Чорноморська</w:t>
      </w:r>
      <w:r w:rsidRPr="001347F8">
        <w:rPr>
          <w:sz w:val="26"/>
          <w:szCs w:val="26"/>
          <w:lang w:val="uk-UA"/>
        </w:rPr>
        <w:t xml:space="preserve">  надійшло доходів (без урахування субвенцій з державного бюджету) в обсязі</w:t>
      </w:r>
      <w:r>
        <w:rPr>
          <w:sz w:val="26"/>
          <w:szCs w:val="26"/>
          <w:lang w:val="uk-UA"/>
        </w:rPr>
        <w:t xml:space="preserve"> 109 384,4 тис</w:t>
      </w:r>
      <w:r w:rsidRPr="001347F8">
        <w:rPr>
          <w:sz w:val="26"/>
          <w:szCs w:val="26"/>
          <w:lang w:val="uk-UA"/>
        </w:rPr>
        <w:t>. грн.</w:t>
      </w:r>
      <w:r>
        <w:rPr>
          <w:sz w:val="26"/>
          <w:szCs w:val="26"/>
          <w:lang w:val="uk-UA"/>
        </w:rPr>
        <w:t xml:space="preserve"> Виконання планових показників 1 кварталу становить 113,6 </w:t>
      </w:r>
      <w:r w:rsidRPr="001347F8">
        <w:rPr>
          <w:sz w:val="26"/>
          <w:szCs w:val="26"/>
          <w:lang w:val="uk-UA"/>
        </w:rPr>
        <w:t>%</w:t>
      </w:r>
      <w:r>
        <w:rPr>
          <w:sz w:val="26"/>
          <w:szCs w:val="26"/>
          <w:lang w:val="uk-UA"/>
        </w:rPr>
        <w:t xml:space="preserve">, річні планові показники виконані 24,8 %. Перевиконання розпису доходів за 1 квартал 2017 року становить 13 057,3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В</w:t>
      </w:r>
      <w:r w:rsidRPr="001347F8">
        <w:rPr>
          <w:sz w:val="26"/>
          <w:szCs w:val="26"/>
          <w:lang w:val="uk-UA"/>
        </w:rPr>
        <w:t xml:space="preserve"> порівнянні </w:t>
      </w:r>
      <w:r>
        <w:rPr>
          <w:sz w:val="26"/>
          <w:szCs w:val="26"/>
          <w:lang w:val="uk-UA"/>
        </w:rPr>
        <w:t xml:space="preserve">до січня - березня  2016 року надходження </w:t>
      </w:r>
      <w:r w:rsidRPr="001347F8">
        <w:rPr>
          <w:sz w:val="26"/>
          <w:szCs w:val="26"/>
          <w:lang w:val="uk-UA"/>
        </w:rPr>
        <w:t xml:space="preserve">збільшились на </w:t>
      </w:r>
      <w:r>
        <w:rPr>
          <w:sz w:val="26"/>
          <w:szCs w:val="26"/>
          <w:lang w:val="uk-UA"/>
        </w:rPr>
        <w:t xml:space="preserve"> 29,2</w:t>
      </w:r>
      <w:r w:rsidRPr="001347F8">
        <w:rPr>
          <w:sz w:val="26"/>
          <w:szCs w:val="26"/>
          <w:lang w:val="uk-UA"/>
        </w:rPr>
        <w:t xml:space="preserve"> %, або 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>24 719,9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гривень. </w:t>
      </w:r>
    </w:p>
    <w:p w:rsidR="00AB6974" w:rsidRDefault="00AB6974" w:rsidP="00AB6974">
      <w:pPr>
        <w:jc w:val="both"/>
        <w:rPr>
          <w:lang w:val="uk-UA"/>
        </w:rPr>
      </w:pPr>
    </w:p>
    <w:p w:rsidR="00AB6974" w:rsidRPr="001347F8" w:rsidRDefault="00AB6974" w:rsidP="00AB6974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</w:t>
      </w:r>
      <w:r w:rsidRPr="00714251">
        <w:rPr>
          <w:sz w:val="26"/>
          <w:szCs w:val="26"/>
          <w:lang w:val="uk-UA"/>
        </w:rPr>
        <w:t xml:space="preserve">Основними джерелами наповнення міського бюджету </w:t>
      </w:r>
      <w:r>
        <w:rPr>
          <w:sz w:val="26"/>
          <w:szCs w:val="26"/>
          <w:lang w:val="uk-UA"/>
        </w:rPr>
        <w:t>залишається</w:t>
      </w:r>
      <w:r w:rsidRPr="00714251">
        <w:rPr>
          <w:sz w:val="26"/>
          <w:szCs w:val="26"/>
          <w:lang w:val="uk-UA"/>
        </w:rPr>
        <w:t xml:space="preserve"> податок на доходи фізичних осіб та плата за землю.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Pr="00915C89" w:rsidRDefault="00AB6974" w:rsidP="00AB6974">
      <w:pPr>
        <w:jc w:val="both"/>
        <w:rPr>
          <w:sz w:val="26"/>
          <w:szCs w:val="26"/>
          <w:lang w:val="uk-UA"/>
        </w:rPr>
      </w:pPr>
      <w:r w:rsidRPr="00915C89">
        <w:rPr>
          <w:sz w:val="26"/>
          <w:szCs w:val="26"/>
          <w:lang w:val="uk-UA"/>
        </w:rPr>
        <w:t xml:space="preserve">     Відповідно до ст.64 Бюджетного кодексу України до доходів загального фонду бюджетів міст обласного значення належать </w:t>
      </w:r>
      <w:r w:rsidRPr="00915C89">
        <w:rPr>
          <w:b/>
          <w:sz w:val="26"/>
          <w:szCs w:val="26"/>
          <w:lang w:val="uk-UA"/>
        </w:rPr>
        <w:t>60 відсотків податку на доходи фізичних осіб</w:t>
      </w:r>
      <w:r w:rsidRPr="00915C89">
        <w:rPr>
          <w:sz w:val="26"/>
          <w:szCs w:val="26"/>
          <w:lang w:val="uk-UA"/>
        </w:rPr>
        <w:t xml:space="preserve"> (25 % зараховується до державного бюджету, 15 % - до обласного).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 Так, за </w:t>
      </w:r>
      <w:r>
        <w:rPr>
          <w:sz w:val="26"/>
          <w:szCs w:val="26"/>
          <w:lang w:val="uk-UA"/>
        </w:rPr>
        <w:t>січень - березень 2017 року</w:t>
      </w:r>
      <w:r w:rsidRPr="001347F8">
        <w:rPr>
          <w:sz w:val="26"/>
          <w:szCs w:val="26"/>
          <w:lang w:val="uk-UA"/>
        </w:rPr>
        <w:t xml:space="preserve"> податку на доходи фізичних осіб надійшло </w:t>
      </w:r>
      <w:r>
        <w:rPr>
          <w:sz w:val="26"/>
          <w:szCs w:val="26"/>
          <w:lang w:val="uk-UA"/>
        </w:rPr>
        <w:t xml:space="preserve">                               57 657,8 тис</w:t>
      </w:r>
      <w:r w:rsidRPr="001347F8">
        <w:rPr>
          <w:sz w:val="26"/>
          <w:szCs w:val="26"/>
          <w:lang w:val="uk-UA"/>
        </w:rPr>
        <w:t>. грн., що на</w:t>
      </w:r>
      <w:r>
        <w:rPr>
          <w:sz w:val="26"/>
          <w:szCs w:val="26"/>
          <w:lang w:val="uk-UA"/>
        </w:rPr>
        <w:t xml:space="preserve"> 12 460,9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 </w:t>
      </w:r>
      <w:r>
        <w:rPr>
          <w:sz w:val="26"/>
          <w:szCs w:val="26"/>
          <w:lang w:val="uk-UA"/>
        </w:rPr>
        <w:t>більше</w:t>
      </w:r>
      <w:r w:rsidRPr="001347F8">
        <w:rPr>
          <w:sz w:val="26"/>
          <w:szCs w:val="26"/>
          <w:lang w:val="uk-UA"/>
        </w:rPr>
        <w:t xml:space="preserve"> надходжень </w:t>
      </w:r>
      <w:r>
        <w:rPr>
          <w:sz w:val="26"/>
          <w:szCs w:val="26"/>
          <w:lang w:val="uk-UA"/>
        </w:rPr>
        <w:t xml:space="preserve">аналогічного періоду </w:t>
      </w:r>
      <w:r w:rsidRPr="001347F8">
        <w:rPr>
          <w:sz w:val="26"/>
          <w:szCs w:val="26"/>
          <w:lang w:val="uk-UA"/>
        </w:rPr>
        <w:t>минулого року</w:t>
      </w:r>
      <w:r>
        <w:rPr>
          <w:sz w:val="26"/>
          <w:szCs w:val="26"/>
          <w:lang w:val="uk-UA"/>
        </w:rPr>
        <w:t>. Річні планові показники виконані на 24,4 %. Планові показники 1 кварталу виконані на 110,6 %.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B67AD2">
        <w:rPr>
          <w:sz w:val="26"/>
          <w:szCs w:val="26"/>
          <w:lang w:val="uk-UA"/>
        </w:rPr>
        <w:t xml:space="preserve">     З 201</w:t>
      </w:r>
      <w:r>
        <w:rPr>
          <w:sz w:val="26"/>
          <w:szCs w:val="26"/>
          <w:lang w:val="uk-UA"/>
        </w:rPr>
        <w:t>7</w:t>
      </w:r>
      <w:r w:rsidRPr="00B67AD2">
        <w:rPr>
          <w:sz w:val="26"/>
          <w:szCs w:val="26"/>
          <w:lang w:val="uk-UA"/>
        </w:rPr>
        <w:t xml:space="preserve"> року Законом України  від </w:t>
      </w:r>
      <w:r>
        <w:rPr>
          <w:sz w:val="26"/>
          <w:szCs w:val="26"/>
          <w:lang w:val="uk-UA"/>
        </w:rPr>
        <w:t>21</w:t>
      </w:r>
      <w:r w:rsidRPr="00B67AD2">
        <w:rPr>
          <w:sz w:val="26"/>
          <w:szCs w:val="26"/>
          <w:lang w:val="uk-UA"/>
        </w:rPr>
        <w:t>.12.201</w:t>
      </w:r>
      <w:r>
        <w:rPr>
          <w:sz w:val="26"/>
          <w:szCs w:val="26"/>
          <w:lang w:val="uk-UA"/>
        </w:rPr>
        <w:t>6</w:t>
      </w:r>
      <w:r w:rsidRPr="00B67AD2">
        <w:rPr>
          <w:sz w:val="26"/>
          <w:szCs w:val="26"/>
          <w:lang w:val="uk-UA"/>
        </w:rPr>
        <w:t xml:space="preserve">р. № </w:t>
      </w:r>
      <w:r>
        <w:rPr>
          <w:sz w:val="26"/>
          <w:szCs w:val="26"/>
          <w:lang w:val="uk-UA"/>
        </w:rPr>
        <w:t>1801</w:t>
      </w:r>
      <w:r w:rsidRPr="00B67AD2">
        <w:rPr>
          <w:sz w:val="26"/>
          <w:szCs w:val="26"/>
          <w:lang w:val="uk-UA"/>
        </w:rPr>
        <w:t xml:space="preserve">-VIIІ "Про </w:t>
      </w:r>
      <w:r>
        <w:rPr>
          <w:sz w:val="26"/>
          <w:szCs w:val="26"/>
          <w:lang w:val="uk-UA"/>
        </w:rPr>
        <w:t>Державний бюджет України на 2017 рік"</w:t>
      </w:r>
      <w:r w:rsidRPr="00B67AD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установлена мінімальна заробітна плата в розмірі 3200 грн. в місяць, </w:t>
      </w:r>
      <w:r w:rsidRPr="00B67AD2">
        <w:rPr>
          <w:sz w:val="26"/>
          <w:szCs w:val="26"/>
          <w:lang w:val="uk-UA"/>
        </w:rPr>
        <w:t xml:space="preserve">що вплинуло на збільшення надходжень ПДФО до бюджету міста. 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EB6E11">
        <w:rPr>
          <w:noProof/>
          <w:sz w:val="26"/>
          <w:szCs w:val="26"/>
        </w:rPr>
        <w:drawing>
          <wp:inline distT="0" distB="0" distL="0" distR="0">
            <wp:extent cx="5772150" cy="3067050"/>
            <wp:effectExtent l="19050" t="0" r="19050" b="0"/>
            <wp:docPr id="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Pr="00B67AD2">
        <w:rPr>
          <w:b/>
          <w:sz w:val="26"/>
          <w:szCs w:val="26"/>
          <w:lang w:val="uk-UA"/>
        </w:rPr>
        <w:t>Місцевих податків і зборів</w:t>
      </w:r>
      <w:r>
        <w:rPr>
          <w:sz w:val="26"/>
          <w:szCs w:val="26"/>
          <w:lang w:val="uk-UA"/>
        </w:rPr>
        <w:t xml:space="preserve"> надійшло за звітний період 43 328,5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., або 112,6 % від плану на 1 квартал 2017 року, уточнений річний план виконаний на 24,9 %, серед них :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pStyle w:val="a6"/>
        <w:numPr>
          <w:ilvl w:val="0"/>
          <w:numId w:val="8"/>
        </w:numPr>
        <w:ind w:left="0" w:firstLine="360"/>
        <w:jc w:val="both"/>
        <w:rPr>
          <w:sz w:val="26"/>
          <w:szCs w:val="26"/>
          <w:lang w:val="uk-UA"/>
        </w:rPr>
      </w:pPr>
      <w:r w:rsidRPr="00E74E23">
        <w:rPr>
          <w:b/>
          <w:sz w:val="26"/>
          <w:szCs w:val="26"/>
          <w:lang w:val="uk-UA"/>
        </w:rPr>
        <w:t>плати за землю</w:t>
      </w:r>
      <w:r w:rsidRPr="00E74E23">
        <w:rPr>
          <w:sz w:val="26"/>
          <w:szCs w:val="26"/>
          <w:lang w:val="uk-UA"/>
        </w:rPr>
        <w:t xml:space="preserve"> надійшло </w:t>
      </w:r>
      <w:r>
        <w:rPr>
          <w:sz w:val="26"/>
          <w:szCs w:val="26"/>
          <w:lang w:val="uk-UA"/>
        </w:rPr>
        <w:t>31 744,4</w:t>
      </w:r>
      <w:r w:rsidRPr="00E74E23">
        <w:rPr>
          <w:sz w:val="26"/>
          <w:szCs w:val="26"/>
          <w:lang w:val="uk-UA"/>
        </w:rPr>
        <w:t xml:space="preserve"> тис. грн., що на </w:t>
      </w:r>
      <w:r>
        <w:rPr>
          <w:sz w:val="26"/>
          <w:szCs w:val="26"/>
          <w:lang w:val="uk-UA"/>
        </w:rPr>
        <w:t>3 626,8</w:t>
      </w:r>
      <w:r w:rsidRPr="00E74E23">
        <w:rPr>
          <w:sz w:val="26"/>
          <w:szCs w:val="26"/>
          <w:lang w:val="uk-UA"/>
        </w:rPr>
        <w:t xml:space="preserve"> тис. грн., або на </w:t>
      </w:r>
      <w:r>
        <w:rPr>
          <w:sz w:val="26"/>
          <w:szCs w:val="26"/>
          <w:lang w:val="uk-UA"/>
        </w:rPr>
        <w:t>12,9</w:t>
      </w:r>
      <w:r w:rsidRPr="00E74E23">
        <w:rPr>
          <w:sz w:val="26"/>
          <w:szCs w:val="26"/>
          <w:lang w:val="uk-UA"/>
        </w:rPr>
        <w:t xml:space="preserve"> % більше надходжень за відповідний період минулого року</w:t>
      </w:r>
      <w:r>
        <w:rPr>
          <w:sz w:val="26"/>
          <w:szCs w:val="26"/>
          <w:lang w:val="uk-UA"/>
        </w:rPr>
        <w:t xml:space="preserve">. Планові показники 1 кварталу виконані на 103,7 %, річні планові призначення - на 23,8 %. </w:t>
      </w:r>
    </w:p>
    <w:p w:rsidR="00AB6974" w:rsidRPr="00B67AD2" w:rsidRDefault="00AB6974" w:rsidP="00AB6974">
      <w:pPr>
        <w:pStyle w:val="a6"/>
        <w:ind w:left="0"/>
        <w:jc w:val="both"/>
        <w:rPr>
          <w:sz w:val="26"/>
          <w:szCs w:val="26"/>
          <w:lang w:val="uk-UA"/>
        </w:rPr>
      </w:pPr>
      <w:r w:rsidRPr="0079746D">
        <w:rPr>
          <w:noProof/>
          <w:sz w:val="26"/>
          <w:szCs w:val="26"/>
        </w:rPr>
        <w:lastRenderedPageBreak/>
        <w:drawing>
          <wp:inline distT="0" distB="0" distL="0" distR="0">
            <wp:extent cx="5924550" cy="2914650"/>
            <wp:effectExtent l="19050" t="0" r="19050" b="0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B6974" w:rsidRPr="00E74E23" w:rsidRDefault="00AB6974" w:rsidP="00AB6974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AB6974" w:rsidRPr="00B67AD2" w:rsidRDefault="00AB6974" w:rsidP="00AB6974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податку на нерухоме майно, відмінне від земельної ділянки</w:t>
      </w:r>
      <w:r>
        <w:rPr>
          <w:sz w:val="26"/>
          <w:szCs w:val="26"/>
          <w:lang w:val="uk-UA"/>
        </w:rPr>
        <w:t xml:space="preserve"> надійшло до бюджету міста в обсязі 904,2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що на 192,9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більше надходжень аналогічного періоду минулого року. Протягом січня - березня 2017 року сплатили податок на нерухоме майно, відмінне від земельної ділянки, 210 власників об`єктів нерухомості, в тому числі 185 юридичних та 25 фізичних осіб. Планові показники січня - березня виконані на 112,3 %, показники річного плану - на 12,0 %.</w:t>
      </w:r>
    </w:p>
    <w:p w:rsidR="00AB6974" w:rsidRDefault="00AB6974" w:rsidP="00AB6974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транспортного податку</w:t>
      </w:r>
      <w:r>
        <w:rPr>
          <w:sz w:val="26"/>
          <w:szCs w:val="26"/>
          <w:lang w:val="uk-UA"/>
        </w:rPr>
        <w:t xml:space="preserve"> надійшло 102,4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від 6 юридичних осіб. Планові показники січня - березня виконані на 136,5 %, річного плану - на 18,6 %.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Pr="00B74F81" w:rsidRDefault="00AB6974" w:rsidP="00AB6974">
      <w:pPr>
        <w:pStyle w:val="a6"/>
        <w:numPr>
          <w:ilvl w:val="0"/>
          <w:numId w:val="9"/>
        </w:numPr>
        <w:ind w:left="0"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є</w:t>
      </w:r>
      <w:r w:rsidRPr="00B74F81">
        <w:rPr>
          <w:b/>
          <w:sz w:val="26"/>
          <w:szCs w:val="26"/>
          <w:lang w:val="uk-UA"/>
        </w:rPr>
        <w:t>диного податку</w:t>
      </w:r>
      <w:r w:rsidRPr="00B74F81">
        <w:rPr>
          <w:sz w:val="26"/>
          <w:szCs w:val="26"/>
          <w:lang w:val="uk-UA"/>
        </w:rPr>
        <w:t xml:space="preserve"> надійшло </w:t>
      </w:r>
      <w:r>
        <w:rPr>
          <w:sz w:val="26"/>
          <w:szCs w:val="26"/>
          <w:lang w:val="uk-UA"/>
        </w:rPr>
        <w:t>10 562,4</w:t>
      </w:r>
      <w:r w:rsidRPr="00B74F81">
        <w:rPr>
          <w:sz w:val="26"/>
          <w:szCs w:val="26"/>
          <w:lang w:val="uk-UA"/>
        </w:rPr>
        <w:t xml:space="preserve"> </w:t>
      </w:r>
      <w:proofErr w:type="spellStart"/>
      <w:r w:rsidRPr="00B74F81">
        <w:rPr>
          <w:sz w:val="26"/>
          <w:szCs w:val="26"/>
          <w:lang w:val="uk-UA"/>
        </w:rPr>
        <w:t>тис.грн</w:t>
      </w:r>
      <w:proofErr w:type="spellEnd"/>
      <w:r w:rsidRPr="00B74F81">
        <w:rPr>
          <w:sz w:val="26"/>
          <w:szCs w:val="26"/>
          <w:lang w:val="uk-UA"/>
        </w:rPr>
        <w:t xml:space="preserve">., що на </w:t>
      </w:r>
      <w:r>
        <w:rPr>
          <w:sz w:val="26"/>
          <w:szCs w:val="26"/>
          <w:lang w:val="uk-UA"/>
        </w:rPr>
        <w:t>4 790,2</w:t>
      </w:r>
      <w:r w:rsidRPr="00B74F81">
        <w:rPr>
          <w:sz w:val="26"/>
          <w:szCs w:val="26"/>
          <w:lang w:val="uk-UA"/>
        </w:rPr>
        <w:t xml:space="preserve"> </w:t>
      </w:r>
      <w:proofErr w:type="spellStart"/>
      <w:r w:rsidRPr="00B74F81">
        <w:rPr>
          <w:sz w:val="26"/>
          <w:szCs w:val="26"/>
          <w:lang w:val="uk-UA"/>
        </w:rPr>
        <w:t>тис.грн</w:t>
      </w:r>
      <w:proofErr w:type="spellEnd"/>
      <w:r w:rsidRPr="00B74F81">
        <w:rPr>
          <w:sz w:val="26"/>
          <w:szCs w:val="26"/>
          <w:lang w:val="uk-UA"/>
        </w:rPr>
        <w:t>. більше надходжень минулого року. Планові показники</w:t>
      </w:r>
      <w:r>
        <w:rPr>
          <w:sz w:val="26"/>
          <w:szCs w:val="26"/>
          <w:lang w:val="uk-UA"/>
        </w:rPr>
        <w:t xml:space="preserve"> 1 кварталу виконані на 151,5 %, річні призначення - на 32,6 %;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Pr="00B74F81" w:rsidRDefault="00AB6974" w:rsidP="00AB6974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B74F81">
        <w:rPr>
          <w:b/>
          <w:sz w:val="26"/>
          <w:szCs w:val="26"/>
          <w:lang w:val="uk-UA"/>
        </w:rPr>
        <w:t>туристичного збору</w:t>
      </w:r>
      <w:r>
        <w:rPr>
          <w:sz w:val="26"/>
          <w:szCs w:val="26"/>
          <w:lang w:val="uk-UA"/>
        </w:rPr>
        <w:t xml:space="preserve"> за звітний період надійшло 16,1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що                                на 6,6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більше надходжень січня - березня 2016 року. Річний план виконаний на  20,1 %.</w:t>
      </w:r>
    </w:p>
    <w:p w:rsidR="00AB6974" w:rsidRDefault="00AB6974" w:rsidP="00AB6974">
      <w:pPr>
        <w:jc w:val="both"/>
        <w:rPr>
          <w:lang w:val="uk-UA"/>
        </w:rPr>
      </w:pPr>
    </w:p>
    <w:p w:rsidR="00AB6974" w:rsidRPr="00145EFD" w:rsidRDefault="00AB6974" w:rsidP="00AB6974">
      <w:pPr>
        <w:jc w:val="both"/>
        <w:rPr>
          <w:sz w:val="26"/>
          <w:szCs w:val="26"/>
          <w:lang w:val="uk-UA"/>
        </w:rPr>
      </w:pPr>
      <w:r w:rsidRPr="00145EFD">
        <w:rPr>
          <w:sz w:val="26"/>
          <w:szCs w:val="26"/>
          <w:lang w:val="uk-UA"/>
        </w:rPr>
        <w:t xml:space="preserve">      </w:t>
      </w:r>
      <w:r w:rsidRPr="00145EFD">
        <w:rPr>
          <w:b/>
          <w:sz w:val="26"/>
          <w:szCs w:val="26"/>
          <w:lang w:val="uk-UA"/>
        </w:rPr>
        <w:t>Акцизного податку</w:t>
      </w:r>
      <w:r w:rsidRPr="00145EFD">
        <w:rPr>
          <w:sz w:val="26"/>
          <w:szCs w:val="26"/>
          <w:lang w:val="uk-UA"/>
        </w:rPr>
        <w:t xml:space="preserve"> за звітний період надійшло 5 837,3 </w:t>
      </w:r>
      <w:proofErr w:type="spellStart"/>
      <w:r w:rsidRPr="00145EFD">
        <w:rPr>
          <w:sz w:val="26"/>
          <w:szCs w:val="26"/>
          <w:lang w:val="uk-UA"/>
        </w:rPr>
        <w:t>тис.грн</w:t>
      </w:r>
      <w:proofErr w:type="spellEnd"/>
      <w:r w:rsidRPr="00145EFD">
        <w:rPr>
          <w:sz w:val="26"/>
          <w:szCs w:val="26"/>
          <w:lang w:val="uk-UA"/>
        </w:rPr>
        <w:t>. Планові показники</w:t>
      </w:r>
      <w:r>
        <w:rPr>
          <w:sz w:val="26"/>
          <w:szCs w:val="26"/>
          <w:lang w:val="uk-UA"/>
        </w:rPr>
        <w:t xml:space="preserve"> січня - березня</w:t>
      </w:r>
      <w:r w:rsidRPr="00145EFD">
        <w:rPr>
          <w:sz w:val="26"/>
          <w:szCs w:val="26"/>
          <w:lang w:val="uk-UA"/>
        </w:rPr>
        <w:t xml:space="preserve"> виконані на </w:t>
      </w:r>
      <w:r>
        <w:rPr>
          <w:sz w:val="26"/>
          <w:szCs w:val="26"/>
          <w:lang w:val="uk-UA"/>
        </w:rPr>
        <w:t>132,7</w:t>
      </w:r>
      <w:r w:rsidRPr="00145EFD">
        <w:rPr>
          <w:sz w:val="26"/>
          <w:szCs w:val="26"/>
          <w:lang w:val="uk-UA"/>
        </w:rPr>
        <w:t xml:space="preserve"> %, темп росту до минулого року - 1</w:t>
      </w:r>
      <w:r>
        <w:rPr>
          <w:sz w:val="26"/>
          <w:szCs w:val="26"/>
          <w:lang w:val="uk-UA"/>
        </w:rPr>
        <w:t>62,7</w:t>
      </w:r>
      <w:r w:rsidRPr="00145EFD">
        <w:rPr>
          <w:sz w:val="26"/>
          <w:szCs w:val="26"/>
          <w:lang w:val="uk-UA"/>
        </w:rPr>
        <w:t xml:space="preserve"> %. </w:t>
      </w:r>
      <w:r>
        <w:rPr>
          <w:sz w:val="26"/>
          <w:szCs w:val="26"/>
          <w:lang w:val="uk-UA"/>
        </w:rPr>
        <w:t>Річні планові призначення виконані на 24,0 %.</w:t>
      </w:r>
    </w:p>
    <w:p w:rsidR="00AB6974" w:rsidRDefault="00AB6974" w:rsidP="00AB6974">
      <w:pPr>
        <w:pStyle w:val="2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02.03.2017р. набрала чинності постанова Кабінету Міністрів України від 08.02.2017р. № 96 "Деякі питання зарахування частини акцизного податку з виробленого в Україні та ввезеного на митну територію України пального до бюджетів місцевого самоврядування". Державною казначейською службою України здійснено розподіл частини акцизного податку з виробленого в Україні та ввезеного на митну територію України пального, що надійшов з 1 січня 2017р., між бюджетами місцевого самоврядування. Частка зарахування частини акцизного податку до бюджету </w:t>
      </w:r>
      <w:proofErr w:type="spellStart"/>
      <w:r>
        <w:rPr>
          <w:b w:val="0"/>
          <w:sz w:val="26"/>
          <w:szCs w:val="26"/>
        </w:rPr>
        <w:t>м.Чорноморська</w:t>
      </w:r>
      <w:proofErr w:type="spellEnd"/>
      <w:r>
        <w:rPr>
          <w:b w:val="0"/>
          <w:sz w:val="26"/>
          <w:szCs w:val="26"/>
        </w:rPr>
        <w:t xml:space="preserve"> у першому півріччі 2017 року становить - 0,001545918. Так, за звітний період до бюджету міста </w:t>
      </w:r>
      <w:r w:rsidR="00AD5A63">
        <w:rPr>
          <w:b w:val="0"/>
          <w:sz w:val="26"/>
          <w:szCs w:val="26"/>
        </w:rPr>
        <w:t>зараховано</w:t>
      </w:r>
      <w:r>
        <w:rPr>
          <w:b w:val="0"/>
          <w:sz w:val="26"/>
          <w:szCs w:val="26"/>
        </w:rPr>
        <w:t xml:space="preserve"> акцизного податку з виробленого в Україні пального - 461,8 </w:t>
      </w:r>
      <w:proofErr w:type="spellStart"/>
      <w:r>
        <w:rPr>
          <w:b w:val="0"/>
          <w:sz w:val="26"/>
          <w:szCs w:val="26"/>
        </w:rPr>
        <w:t>тис.грн</w:t>
      </w:r>
      <w:proofErr w:type="spellEnd"/>
      <w:r>
        <w:rPr>
          <w:b w:val="0"/>
          <w:sz w:val="26"/>
          <w:szCs w:val="26"/>
        </w:rPr>
        <w:t xml:space="preserve">., з ввезеного пального на митну територію України - 1 582,2 </w:t>
      </w:r>
      <w:proofErr w:type="spellStart"/>
      <w:r>
        <w:rPr>
          <w:b w:val="0"/>
          <w:sz w:val="26"/>
          <w:szCs w:val="26"/>
        </w:rPr>
        <w:t>тис.грн</w:t>
      </w:r>
      <w:proofErr w:type="spellEnd"/>
      <w:r>
        <w:rPr>
          <w:b w:val="0"/>
          <w:sz w:val="26"/>
          <w:szCs w:val="26"/>
        </w:rPr>
        <w:t>.</w:t>
      </w:r>
    </w:p>
    <w:p w:rsidR="00AB6974" w:rsidRPr="00145EFD" w:rsidRDefault="00AB6974" w:rsidP="00AB6974">
      <w:pPr>
        <w:rPr>
          <w:lang w:val="uk-UA" w:eastAsia="uk-UA"/>
        </w:rPr>
      </w:pPr>
      <w:r>
        <w:rPr>
          <w:lang w:val="uk-UA" w:eastAsia="uk-UA"/>
        </w:rPr>
        <w:t xml:space="preserve">     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За кодом бюджетної класифікації доходів 24060300 "Інші доходи" </w:t>
      </w:r>
      <w:r>
        <w:rPr>
          <w:sz w:val="26"/>
          <w:szCs w:val="26"/>
          <w:lang w:val="uk-UA"/>
        </w:rPr>
        <w:t xml:space="preserve">надійшло до бюджету міста за звітний період 475,7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 при річному плані 500,0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., в тому числі :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- </w:t>
      </w:r>
      <w:r w:rsidRPr="00342696">
        <w:rPr>
          <w:sz w:val="26"/>
          <w:szCs w:val="26"/>
          <w:lang w:val="uk-UA"/>
        </w:rPr>
        <w:t xml:space="preserve">оплата за тимчасове користування місцем, що перебуває в комунальній власності, для розміщення тимчасових споруд </w:t>
      </w:r>
      <w:r>
        <w:rPr>
          <w:sz w:val="26"/>
          <w:szCs w:val="26"/>
          <w:lang w:val="uk-UA"/>
        </w:rPr>
        <w:t xml:space="preserve">(в т.ч. пересувних) - 102,6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повернення видатків минулих років (в т.ч. за актами ревізії Державної аудиторської служби України) - 348,5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B67AD2">
        <w:rPr>
          <w:sz w:val="26"/>
          <w:szCs w:val="26"/>
          <w:lang w:val="uk-UA"/>
        </w:rPr>
        <w:t>відшкодування збитків власникам землі та землекористувачам і впорядкування плати за користування земельними ділянками до укладання договорів оренди землі</w:t>
      </w:r>
      <w:r>
        <w:rPr>
          <w:sz w:val="26"/>
          <w:szCs w:val="26"/>
          <w:lang w:val="uk-UA"/>
        </w:rPr>
        <w:t xml:space="preserve"> за рішеннями суду - 24,6</w:t>
      </w:r>
      <w:r w:rsidRPr="00852545">
        <w:rPr>
          <w:sz w:val="26"/>
          <w:szCs w:val="26"/>
          <w:lang w:val="uk-UA"/>
        </w:rPr>
        <w:t xml:space="preserve"> </w:t>
      </w:r>
      <w:proofErr w:type="spellStart"/>
      <w:r w:rsidRPr="00852545">
        <w:rPr>
          <w:sz w:val="26"/>
          <w:szCs w:val="26"/>
          <w:lang w:val="uk-UA"/>
        </w:rPr>
        <w:t>тис.грн</w:t>
      </w:r>
      <w:proofErr w:type="spellEnd"/>
      <w:r w:rsidRPr="00852545">
        <w:rPr>
          <w:sz w:val="26"/>
          <w:szCs w:val="26"/>
          <w:lang w:val="uk-UA"/>
        </w:rPr>
        <w:t>.</w:t>
      </w:r>
    </w:p>
    <w:p w:rsidR="00AB6974" w:rsidRDefault="00AB6974" w:rsidP="00AB6974">
      <w:pPr>
        <w:jc w:val="both"/>
        <w:rPr>
          <w:b/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D16F2D">
        <w:rPr>
          <w:b/>
          <w:sz w:val="26"/>
          <w:szCs w:val="26"/>
          <w:lang w:val="uk-UA"/>
        </w:rPr>
        <w:t xml:space="preserve">        До  спеціального  фонду  </w:t>
      </w:r>
      <w:r>
        <w:rPr>
          <w:b/>
          <w:sz w:val="26"/>
          <w:szCs w:val="26"/>
          <w:lang w:val="uk-UA"/>
        </w:rPr>
        <w:t xml:space="preserve">міського </w:t>
      </w:r>
      <w:r w:rsidRPr="00D16F2D">
        <w:rPr>
          <w:b/>
          <w:sz w:val="26"/>
          <w:szCs w:val="26"/>
          <w:lang w:val="uk-UA"/>
        </w:rPr>
        <w:t xml:space="preserve">бюджету </w:t>
      </w:r>
      <w:r w:rsidRPr="009A218A">
        <w:rPr>
          <w:sz w:val="26"/>
          <w:szCs w:val="26"/>
          <w:lang w:val="uk-UA"/>
        </w:rPr>
        <w:t xml:space="preserve">за </w:t>
      </w:r>
      <w:r>
        <w:rPr>
          <w:sz w:val="26"/>
          <w:szCs w:val="26"/>
          <w:lang w:val="uk-UA"/>
        </w:rPr>
        <w:t xml:space="preserve">звітний період </w:t>
      </w:r>
      <w:r w:rsidRPr="00D16F2D">
        <w:rPr>
          <w:sz w:val="26"/>
          <w:szCs w:val="26"/>
          <w:lang w:val="uk-UA"/>
        </w:rPr>
        <w:t xml:space="preserve">надійшло </w:t>
      </w:r>
      <w:r>
        <w:rPr>
          <w:sz w:val="26"/>
          <w:szCs w:val="26"/>
          <w:lang w:val="uk-UA"/>
        </w:rPr>
        <w:t xml:space="preserve">          5 716,4</w:t>
      </w:r>
      <w:r w:rsidRPr="00D16F2D">
        <w:rPr>
          <w:sz w:val="26"/>
          <w:szCs w:val="26"/>
          <w:lang w:val="uk-UA"/>
        </w:rPr>
        <w:t xml:space="preserve"> тис. грн.</w:t>
      </w:r>
      <w:r>
        <w:rPr>
          <w:sz w:val="26"/>
          <w:szCs w:val="26"/>
          <w:lang w:val="uk-UA"/>
        </w:rPr>
        <w:t>, що на 3,2 % більше надходжень аналогічного періоду минулого року. Планові показники за 3 місяця виконані на 108,2 %, річні показники виконані на 24,5 %.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Н</w:t>
      </w:r>
      <w:r w:rsidRPr="00D16F2D">
        <w:rPr>
          <w:sz w:val="26"/>
          <w:szCs w:val="26"/>
          <w:lang w:val="uk-UA"/>
        </w:rPr>
        <w:t xml:space="preserve">адходження до </w:t>
      </w:r>
      <w:r w:rsidRPr="00D16F2D">
        <w:rPr>
          <w:b/>
          <w:sz w:val="26"/>
          <w:szCs w:val="26"/>
          <w:lang w:val="uk-UA"/>
        </w:rPr>
        <w:t>бюджету розвитку</w:t>
      </w:r>
      <w:r w:rsidRPr="00D16F2D">
        <w:rPr>
          <w:sz w:val="26"/>
          <w:szCs w:val="26"/>
          <w:lang w:val="uk-UA"/>
        </w:rPr>
        <w:t xml:space="preserve"> с</w:t>
      </w:r>
      <w:r>
        <w:rPr>
          <w:sz w:val="26"/>
          <w:szCs w:val="26"/>
          <w:lang w:val="uk-UA"/>
        </w:rPr>
        <w:t>тановлять</w:t>
      </w:r>
      <w:r w:rsidRPr="00D16F2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1 132,5</w:t>
      </w:r>
      <w:r w:rsidRPr="00D16F2D">
        <w:rPr>
          <w:sz w:val="26"/>
          <w:szCs w:val="26"/>
          <w:lang w:val="uk-UA"/>
        </w:rPr>
        <w:t xml:space="preserve"> </w:t>
      </w:r>
      <w:proofErr w:type="spellStart"/>
      <w:r w:rsidRPr="00D16F2D">
        <w:rPr>
          <w:sz w:val="26"/>
          <w:szCs w:val="26"/>
          <w:lang w:val="uk-UA"/>
        </w:rPr>
        <w:t>тис.грн</w:t>
      </w:r>
      <w:proofErr w:type="spellEnd"/>
      <w:r w:rsidRPr="00D16F2D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, або 19,8</w:t>
      </w:r>
      <w:r w:rsidRPr="00D16F2D">
        <w:rPr>
          <w:sz w:val="26"/>
          <w:szCs w:val="26"/>
          <w:lang w:val="uk-UA"/>
        </w:rPr>
        <w:t xml:space="preserve"> % від </w:t>
      </w:r>
      <w:r>
        <w:rPr>
          <w:sz w:val="26"/>
          <w:szCs w:val="26"/>
          <w:lang w:val="uk-UA"/>
        </w:rPr>
        <w:t xml:space="preserve">загальної суми </w:t>
      </w:r>
      <w:r w:rsidRPr="00D16F2D">
        <w:rPr>
          <w:sz w:val="26"/>
          <w:szCs w:val="26"/>
          <w:lang w:val="uk-UA"/>
        </w:rPr>
        <w:t>надходжень до спеціального фонду</w:t>
      </w:r>
      <w:r>
        <w:rPr>
          <w:sz w:val="26"/>
          <w:szCs w:val="26"/>
          <w:lang w:val="uk-UA"/>
        </w:rPr>
        <w:t>, в тому числі :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надходження коштів пайової участі у розвитку інфраструктури населеного пункту - 1 132,5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(річний план виконаний на 22,7 %)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D16F2D">
        <w:rPr>
          <w:sz w:val="26"/>
          <w:szCs w:val="26"/>
          <w:lang w:val="uk-UA"/>
        </w:rPr>
        <w:t xml:space="preserve">        </w:t>
      </w:r>
      <w:r w:rsidRPr="00D16F2D">
        <w:rPr>
          <w:b/>
          <w:sz w:val="26"/>
          <w:szCs w:val="26"/>
          <w:lang w:val="uk-UA"/>
        </w:rPr>
        <w:t>Власні надходження</w:t>
      </w:r>
      <w:r w:rsidRPr="00D16F2D">
        <w:rPr>
          <w:sz w:val="26"/>
          <w:szCs w:val="26"/>
          <w:lang w:val="uk-UA"/>
        </w:rPr>
        <w:t xml:space="preserve"> бюджетних установ за січень</w:t>
      </w:r>
      <w:r>
        <w:rPr>
          <w:sz w:val="26"/>
          <w:szCs w:val="26"/>
          <w:lang w:val="uk-UA"/>
        </w:rPr>
        <w:t xml:space="preserve"> - березень</w:t>
      </w:r>
      <w:r w:rsidRPr="00D16F2D">
        <w:rPr>
          <w:sz w:val="26"/>
          <w:szCs w:val="26"/>
          <w:lang w:val="uk-UA"/>
        </w:rPr>
        <w:t xml:space="preserve"> 201</w:t>
      </w:r>
      <w:r>
        <w:rPr>
          <w:sz w:val="26"/>
          <w:szCs w:val="26"/>
          <w:lang w:val="uk-UA"/>
        </w:rPr>
        <w:t>7</w:t>
      </w:r>
      <w:r w:rsidRPr="00D16F2D">
        <w:rPr>
          <w:sz w:val="26"/>
          <w:szCs w:val="26"/>
          <w:lang w:val="uk-UA"/>
        </w:rPr>
        <w:t xml:space="preserve"> року становлять </w:t>
      </w:r>
      <w:r>
        <w:rPr>
          <w:sz w:val="26"/>
          <w:szCs w:val="26"/>
          <w:lang w:val="uk-UA"/>
        </w:rPr>
        <w:t xml:space="preserve">4 487,9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(річні планові показники виконані на 26,7 %).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Надходження до </w:t>
      </w:r>
      <w:r w:rsidRPr="00EE61B3">
        <w:rPr>
          <w:b/>
          <w:sz w:val="26"/>
          <w:szCs w:val="26"/>
          <w:lang w:val="uk-UA"/>
        </w:rPr>
        <w:t>фонду охорони навколишнього природного середовища</w:t>
      </w:r>
      <w:r>
        <w:rPr>
          <w:sz w:val="26"/>
          <w:szCs w:val="26"/>
          <w:lang w:val="uk-UA"/>
        </w:rPr>
        <w:t xml:space="preserve"> складають 96,7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., в тому числі :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 - 10,2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524DAD">
        <w:rPr>
          <w:sz w:val="26"/>
          <w:szCs w:val="26"/>
          <w:lang w:val="uk-UA"/>
        </w:rPr>
        <w:t>- екологічн</w:t>
      </w:r>
      <w:r>
        <w:rPr>
          <w:sz w:val="26"/>
          <w:szCs w:val="26"/>
          <w:lang w:val="uk-UA"/>
        </w:rPr>
        <w:t xml:space="preserve">ий податок - 86,5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Pr="00EE61B3">
        <w:rPr>
          <w:b/>
          <w:sz w:val="26"/>
          <w:szCs w:val="26"/>
          <w:lang w:val="uk-UA"/>
        </w:rPr>
        <w:t>До цільового фонду</w:t>
      </w:r>
      <w:r>
        <w:rPr>
          <w:sz w:val="26"/>
          <w:szCs w:val="26"/>
          <w:lang w:val="uk-UA"/>
        </w:rPr>
        <w:t xml:space="preserve"> надійшло 0,3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512AB0" w:rsidRDefault="00512AB0" w:rsidP="00C71180">
      <w:pPr>
        <w:jc w:val="both"/>
        <w:rPr>
          <w:sz w:val="26"/>
          <w:szCs w:val="26"/>
          <w:lang w:val="uk-UA"/>
        </w:rPr>
      </w:pPr>
    </w:p>
    <w:p w:rsidR="00C71180" w:rsidRPr="00142D82" w:rsidRDefault="00C71180" w:rsidP="00C71180">
      <w:pPr>
        <w:jc w:val="both"/>
        <w:rPr>
          <w:b/>
          <w:sz w:val="26"/>
          <w:szCs w:val="26"/>
          <w:highlight w:val="yellow"/>
          <w:lang w:val="uk-UA"/>
        </w:rPr>
      </w:pPr>
      <w:r w:rsidRPr="001143E3">
        <w:rPr>
          <w:sz w:val="26"/>
          <w:szCs w:val="26"/>
          <w:lang w:val="uk-UA"/>
        </w:rPr>
        <w:t xml:space="preserve">       </w:t>
      </w:r>
      <w:r w:rsidRPr="00FE6B6E">
        <w:rPr>
          <w:sz w:val="26"/>
          <w:szCs w:val="26"/>
          <w:lang w:val="uk-UA"/>
        </w:rPr>
        <w:t>Виходячи з обсягу отриманих доходів та вільного залишку коштів на початок 201</w:t>
      </w:r>
      <w:r w:rsidR="002B005C">
        <w:rPr>
          <w:sz w:val="26"/>
          <w:szCs w:val="26"/>
          <w:lang w:val="uk-UA"/>
        </w:rPr>
        <w:t>7</w:t>
      </w:r>
      <w:r w:rsidRPr="00FE6B6E">
        <w:rPr>
          <w:sz w:val="26"/>
          <w:szCs w:val="26"/>
          <w:lang w:val="uk-UA"/>
        </w:rPr>
        <w:t xml:space="preserve"> року, </w:t>
      </w:r>
      <w:r w:rsidRPr="00FE6B6E">
        <w:rPr>
          <w:b/>
          <w:sz w:val="26"/>
          <w:szCs w:val="26"/>
          <w:lang w:val="uk-UA"/>
        </w:rPr>
        <w:t>видатки міського бюджету міста Чорноморська</w:t>
      </w:r>
      <w:r w:rsidRPr="00FE6B6E">
        <w:rPr>
          <w:sz w:val="26"/>
          <w:szCs w:val="26"/>
          <w:lang w:val="uk-UA"/>
        </w:rPr>
        <w:t xml:space="preserve"> за звітний період проведені  </w:t>
      </w:r>
      <w:r w:rsidRPr="00FE6B6E">
        <w:rPr>
          <w:b/>
          <w:sz w:val="26"/>
          <w:szCs w:val="26"/>
          <w:lang w:val="uk-UA"/>
        </w:rPr>
        <w:t xml:space="preserve">в сумі  </w:t>
      </w:r>
      <w:r w:rsidR="00440162">
        <w:rPr>
          <w:b/>
          <w:sz w:val="26"/>
          <w:szCs w:val="26"/>
          <w:lang w:val="uk-UA"/>
        </w:rPr>
        <w:t>172 025</w:t>
      </w:r>
      <w:r w:rsidR="0050782D">
        <w:rPr>
          <w:b/>
          <w:sz w:val="26"/>
          <w:szCs w:val="26"/>
          <w:lang w:val="uk-UA"/>
        </w:rPr>
        <w:t>,</w:t>
      </w:r>
      <w:r w:rsidR="00440162">
        <w:rPr>
          <w:b/>
          <w:sz w:val="26"/>
          <w:szCs w:val="26"/>
          <w:lang w:val="uk-UA"/>
        </w:rPr>
        <w:t>3</w:t>
      </w:r>
      <w:r w:rsidR="00DB1B18">
        <w:rPr>
          <w:b/>
          <w:sz w:val="26"/>
          <w:szCs w:val="26"/>
          <w:lang w:val="uk-UA"/>
        </w:rPr>
        <w:t xml:space="preserve"> </w:t>
      </w:r>
      <w:r w:rsidRPr="00FE6B6E">
        <w:rPr>
          <w:b/>
          <w:sz w:val="26"/>
          <w:szCs w:val="26"/>
          <w:lang w:val="uk-UA"/>
        </w:rPr>
        <w:t>тис. грн</w:t>
      </w:r>
      <w:r w:rsidRPr="00F23B64">
        <w:rPr>
          <w:b/>
          <w:sz w:val="26"/>
          <w:szCs w:val="26"/>
          <w:lang w:val="uk-UA"/>
        </w:rPr>
        <w:t xml:space="preserve">., що на </w:t>
      </w:r>
      <w:r w:rsidR="00440162">
        <w:rPr>
          <w:b/>
          <w:sz w:val="26"/>
          <w:szCs w:val="26"/>
          <w:lang w:val="uk-UA"/>
        </w:rPr>
        <w:t>62 348,8</w:t>
      </w:r>
      <w:r w:rsidR="00DB1B18">
        <w:rPr>
          <w:b/>
          <w:sz w:val="26"/>
          <w:szCs w:val="26"/>
          <w:lang w:val="uk-UA"/>
        </w:rPr>
        <w:t xml:space="preserve"> </w:t>
      </w:r>
      <w:r w:rsidRPr="00F23B64">
        <w:rPr>
          <w:b/>
          <w:sz w:val="26"/>
          <w:szCs w:val="26"/>
          <w:lang w:val="uk-UA"/>
        </w:rPr>
        <w:t xml:space="preserve">тис. грн., або на </w:t>
      </w:r>
      <w:r w:rsidR="00440162">
        <w:rPr>
          <w:b/>
          <w:sz w:val="26"/>
          <w:szCs w:val="26"/>
          <w:lang w:val="uk-UA"/>
        </w:rPr>
        <w:t>63,8</w:t>
      </w:r>
      <w:r w:rsidR="00DB1B18">
        <w:rPr>
          <w:b/>
          <w:sz w:val="26"/>
          <w:szCs w:val="26"/>
          <w:lang w:val="uk-UA"/>
        </w:rPr>
        <w:t xml:space="preserve"> </w:t>
      </w:r>
      <w:r w:rsidRPr="00F23B64">
        <w:rPr>
          <w:b/>
          <w:sz w:val="26"/>
          <w:szCs w:val="26"/>
          <w:lang w:val="uk-UA"/>
        </w:rPr>
        <w:t>% більше в порівнянні з аналогічним періодом минулого року.</w:t>
      </w:r>
    </w:p>
    <w:p w:rsidR="00C77D8C" w:rsidRPr="00142D82" w:rsidRDefault="00C77D8C" w:rsidP="00C71180">
      <w:pPr>
        <w:jc w:val="both"/>
        <w:rPr>
          <w:b/>
          <w:sz w:val="26"/>
          <w:szCs w:val="26"/>
          <w:highlight w:val="yellow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142D82">
        <w:rPr>
          <w:sz w:val="26"/>
          <w:szCs w:val="26"/>
          <w:lang w:val="uk-UA"/>
        </w:rPr>
        <w:t xml:space="preserve">       Структуру видатків складають видатки на утримання  бюджетних установ,  житлово-комунального господарства,  реалізацію міських   програм соціально-економічного та культурного розвитку міста, соціальний захист  та  соціальне  забезпечення  населення,  утримання об’єктів соціальної і інженерної інфраструктури Чорноморської міської ради, за такими напрямками :</w:t>
      </w:r>
    </w:p>
    <w:p w:rsidR="009669B6" w:rsidRDefault="009669B6" w:rsidP="00C71180">
      <w:pPr>
        <w:jc w:val="both"/>
        <w:rPr>
          <w:sz w:val="26"/>
          <w:szCs w:val="26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CB38B0">
        <w:rPr>
          <w:sz w:val="26"/>
          <w:szCs w:val="26"/>
          <w:lang w:val="uk-UA"/>
        </w:rPr>
        <w:t xml:space="preserve">     - </w:t>
      </w:r>
      <w:r w:rsidRPr="00CB38B0">
        <w:rPr>
          <w:b/>
          <w:sz w:val="26"/>
          <w:szCs w:val="26"/>
          <w:lang w:val="uk-UA"/>
        </w:rPr>
        <w:t>освіта</w:t>
      </w:r>
      <w:r w:rsidRPr="00CB38B0">
        <w:rPr>
          <w:sz w:val="26"/>
          <w:szCs w:val="26"/>
          <w:lang w:val="uk-UA"/>
        </w:rPr>
        <w:t xml:space="preserve"> –  </w:t>
      </w:r>
      <w:r w:rsidR="00BA48FD">
        <w:rPr>
          <w:sz w:val="26"/>
          <w:szCs w:val="26"/>
          <w:lang w:val="uk-UA"/>
        </w:rPr>
        <w:t>40 710</w:t>
      </w:r>
      <w:r w:rsidR="00800D1C">
        <w:rPr>
          <w:sz w:val="26"/>
          <w:szCs w:val="26"/>
          <w:lang w:val="uk-UA"/>
        </w:rPr>
        <w:t>,</w:t>
      </w:r>
      <w:r w:rsidR="00BA48FD">
        <w:rPr>
          <w:sz w:val="26"/>
          <w:szCs w:val="26"/>
          <w:lang w:val="uk-UA"/>
        </w:rPr>
        <w:t>6</w:t>
      </w:r>
      <w:r w:rsidR="002B005C">
        <w:rPr>
          <w:sz w:val="26"/>
          <w:szCs w:val="26"/>
          <w:lang w:val="uk-UA"/>
        </w:rPr>
        <w:t xml:space="preserve"> </w:t>
      </w:r>
      <w:r w:rsidR="00DB1B18">
        <w:rPr>
          <w:sz w:val="26"/>
          <w:szCs w:val="26"/>
          <w:lang w:val="uk-UA"/>
        </w:rPr>
        <w:t xml:space="preserve"> </w:t>
      </w:r>
      <w:r w:rsidRPr="00E04AB8">
        <w:rPr>
          <w:sz w:val="26"/>
          <w:szCs w:val="26"/>
          <w:lang w:val="uk-UA"/>
        </w:rPr>
        <w:t xml:space="preserve">тис. грн. ( </w:t>
      </w:r>
      <w:r w:rsidR="00800D1C">
        <w:rPr>
          <w:sz w:val="26"/>
          <w:szCs w:val="26"/>
          <w:lang w:val="uk-UA"/>
        </w:rPr>
        <w:t>2</w:t>
      </w:r>
      <w:r w:rsidR="004A2221">
        <w:rPr>
          <w:sz w:val="26"/>
          <w:szCs w:val="26"/>
          <w:lang w:val="uk-UA"/>
        </w:rPr>
        <w:t>3</w:t>
      </w:r>
      <w:r w:rsidR="00800D1C">
        <w:rPr>
          <w:sz w:val="26"/>
          <w:szCs w:val="26"/>
          <w:lang w:val="uk-UA"/>
        </w:rPr>
        <w:t>,</w:t>
      </w:r>
      <w:r w:rsidR="004A2221">
        <w:rPr>
          <w:sz w:val="26"/>
          <w:szCs w:val="26"/>
          <w:lang w:val="uk-UA"/>
        </w:rPr>
        <w:t>7</w:t>
      </w:r>
      <w:r w:rsidRPr="00E04AB8">
        <w:rPr>
          <w:sz w:val="26"/>
          <w:szCs w:val="26"/>
          <w:lang w:val="uk-UA"/>
        </w:rPr>
        <w:t xml:space="preserve"> % проведених видатків міського бюджету)</w:t>
      </w:r>
      <w:r w:rsidR="009D5E4C">
        <w:rPr>
          <w:sz w:val="26"/>
          <w:szCs w:val="26"/>
          <w:lang w:val="uk-UA"/>
        </w:rPr>
        <w:t>;</w:t>
      </w:r>
    </w:p>
    <w:p w:rsidR="009669B6" w:rsidRDefault="009669B6" w:rsidP="00C71180">
      <w:pPr>
        <w:jc w:val="both"/>
        <w:rPr>
          <w:b/>
          <w:sz w:val="26"/>
          <w:szCs w:val="26"/>
          <w:lang w:val="uk-UA"/>
        </w:rPr>
      </w:pPr>
    </w:p>
    <w:p w:rsidR="00AB6974" w:rsidRDefault="009D5E4C" w:rsidP="00AB6974">
      <w:pPr>
        <w:jc w:val="both"/>
        <w:rPr>
          <w:sz w:val="26"/>
          <w:szCs w:val="26"/>
          <w:lang w:val="uk-UA"/>
        </w:rPr>
      </w:pPr>
      <w:r w:rsidRPr="00164636">
        <w:rPr>
          <w:b/>
          <w:sz w:val="26"/>
          <w:szCs w:val="26"/>
          <w:lang w:val="uk-UA"/>
        </w:rPr>
        <w:t xml:space="preserve">     - </w:t>
      </w:r>
      <w:r w:rsidR="00164636" w:rsidRPr="00164636">
        <w:rPr>
          <w:b/>
          <w:sz w:val="26"/>
          <w:szCs w:val="26"/>
          <w:lang w:val="uk-UA"/>
        </w:rPr>
        <w:t>охорона</w:t>
      </w:r>
      <w:r w:rsidR="00164636">
        <w:rPr>
          <w:b/>
          <w:sz w:val="26"/>
          <w:szCs w:val="26"/>
          <w:lang w:val="uk-UA"/>
        </w:rPr>
        <w:t xml:space="preserve"> здоров'я - </w:t>
      </w:r>
      <w:r w:rsidR="004A2221">
        <w:rPr>
          <w:b/>
          <w:sz w:val="26"/>
          <w:szCs w:val="26"/>
          <w:lang w:val="uk-UA"/>
        </w:rPr>
        <w:t>25 369</w:t>
      </w:r>
      <w:r w:rsidR="00800D1C">
        <w:rPr>
          <w:b/>
          <w:sz w:val="26"/>
          <w:szCs w:val="26"/>
          <w:lang w:val="uk-UA"/>
        </w:rPr>
        <w:t>,3</w:t>
      </w:r>
      <w:r w:rsidR="00164636">
        <w:rPr>
          <w:sz w:val="26"/>
          <w:szCs w:val="26"/>
          <w:lang w:val="uk-UA"/>
        </w:rPr>
        <w:t xml:space="preserve"> ( </w:t>
      </w:r>
      <w:r w:rsidR="00007D66">
        <w:rPr>
          <w:sz w:val="26"/>
          <w:szCs w:val="26"/>
          <w:lang w:val="uk-UA"/>
        </w:rPr>
        <w:t>1</w:t>
      </w:r>
      <w:r w:rsidR="004A2221">
        <w:rPr>
          <w:sz w:val="26"/>
          <w:szCs w:val="26"/>
          <w:lang w:val="uk-UA"/>
        </w:rPr>
        <w:t>4</w:t>
      </w:r>
      <w:r w:rsidR="00007D66">
        <w:rPr>
          <w:sz w:val="26"/>
          <w:szCs w:val="26"/>
          <w:lang w:val="uk-UA"/>
        </w:rPr>
        <w:t>,</w:t>
      </w:r>
      <w:r w:rsidR="004A2221">
        <w:rPr>
          <w:sz w:val="26"/>
          <w:szCs w:val="26"/>
          <w:lang w:val="uk-UA"/>
        </w:rPr>
        <w:t>8</w:t>
      </w:r>
      <w:r w:rsidR="00164636">
        <w:rPr>
          <w:sz w:val="26"/>
          <w:szCs w:val="26"/>
          <w:lang w:val="uk-UA"/>
        </w:rPr>
        <w:t>%)</w:t>
      </w:r>
      <w:r w:rsidR="00C03D56">
        <w:rPr>
          <w:sz w:val="26"/>
          <w:szCs w:val="26"/>
          <w:lang w:val="uk-UA"/>
        </w:rPr>
        <w:t>.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22233E" w:rsidRPr="00AB6974" w:rsidRDefault="00AB6974" w:rsidP="00AB697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9669B6">
        <w:rPr>
          <w:sz w:val="26"/>
          <w:szCs w:val="26"/>
          <w:lang w:val="uk-UA"/>
        </w:rPr>
        <w:t xml:space="preserve">     В </w:t>
      </w:r>
      <w:r w:rsidR="006A7032" w:rsidRPr="00CB38B0">
        <w:rPr>
          <w:sz w:val="26"/>
          <w:szCs w:val="26"/>
          <w:lang w:val="uk-UA"/>
        </w:rPr>
        <w:t>загальних видатках на</w:t>
      </w:r>
      <w:r w:rsidR="006A7032">
        <w:rPr>
          <w:sz w:val="26"/>
          <w:szCs w:val="26"/>
          <w:lang w:val="uk-UA"/>
        </w:rPr>
        <w:t xml:space="preserve"> </w:t>
      </w:r>
      <w:r w:rsidR="00DD76B9">
        <w:rPr>
          <w:sz w:val="26"/>
          <w:szCs w:val="26"/>
          <w:lang w:val="uk-UA"/>
        </w:rPr>
        <w:t>охорону здоров'я</w:t>
      </w:r>
      <w:r w:rsidR="006A7032" w:rsidRPr="00CB38B0">
        <w:rPr>
          <w:sz w:val="26"/>
          <w:szCs w:val="26"/>
          <w:lang w:val="uk-UA"/>
        </w:rPr>
        <w:t>, складають видатки на утримання</w:t>
      </w:r>
      <w:r w:rsidR="00404920">
        <w:rPr>
          <w:sz w:val="26"/>
          <w:szCs w:val="26"/>
          <w:lang w:val="uk-UA"/>
        </w:rPr>
        <w:t xml:space="preserve"> двох медичних </w:t>
      </w:r>
      <w:r w:rsidR="001304B6">
        <w:rPr>
          <w:sz w:val="26"/>
          <w:szCs w:val="26"/>
          <w:lang w:val="uk-UA"/>
        </w:rPr>
        <w:t>заклад</w:t>
      </w:r>
      <w:r w:rsidR="003E56DA">
        <w:rPr>
          <w:sz w:val="26"/>
          <w:szCs w:val="26"/>
          <w:lang w:val="uk-UA"/>
        </w:rPr>
        <w:t>ів</w:t>
      </w:r>
      <w:r w:rsidR="00F02033">
        <w:rPr>
          <w:sz w:val="26"/>
          <w:szCs w:val="26"/>
          <w:lang w:val="uk-UA"/>
        </w:rPr>
        <w:t>,</w:t>
      </w:r>
      <w:r w:rsidR="00404920">
        <w:rPr>
          <w:sz w:val="26"/>
          <w:szCs w:val="26"/>
          <w:lang w:val="uk-UA"/>
        </w:rPr>
        <w:t xml:space="preserve"> </w:t>
      </w:r>
      <w:r w:rsidR="006A7032" w:rsidRPr="00CB38B0">
        <w:rPr>
          <w:sz w:val="26"/>
          <w:szCs w:val="26"/>
          <w:lang w:val="uk-UA"/>
        </w:rPr>
        <w:t xml:space="preserve"> фінансування як</w:t>
      </w:r>
      <w:r w:rsidR="00404920">
        <w:rPr>
          <w:sz w:val="26"/>
          <w:szCs w:val="26"/>
          <w:lang w:val="uk-UA"/>
        </w:rPr>
        <w:t xml:space="preserve">их </w:t>
      </w:r>
      <w:r w:rsidR="006A7032" w:rsidRPr="00CB38B0">
        <w:rPr>
          <w:sz w:val="26"/>
          <w:szCs w:val="26"/>
          <w:lang w:val="uk-UA"/>
        </w:rPr>
        <w:t xml:space="preserve"> з 201</w:t>
      </w:r>
      <w:r w:rsidR="00404920">
        <w:rPr>
          <w:sz w:val="26"/>
          <w:szCs w:val="26"/>
          <w:lang w:val="uk-UA"/>
        </w:rPr>
        <w:t xml:space="preserve">7 </w:t>
      </w:r>
      <w:r w:rsidR="006A7032" w:rsidRPr="00CB38B0">
        <w:rPr>
          <w:sz w:val="26"/>
          <w:szCs w:val="26"/>
          <w:lang w:val="uk-UA"/>
        </w:rPr>
        <w:t xml:space="preserve"> року передано на бюджети міст обласного значення відповідно до Закону України</w:t>
      </w:r>
      <w:r w:rsidR="0020389C">
        <w:rPr>
          <w:sz w:val="26"/>
          <w:szCs w:val="26"/>
          <w:lang w:val="uk-UA"/>
        </w:rPr>
        <w:t xml:space="preserve"> "Про Державний бюджет України на 2017 рік</w:t>
      </w:r>
      <w:r w:rsidR="001304B6">
        <w:rPr>
          <w:sz w:val="26"/>
          <w:szCs w:val="26"/>
          <w:lang w:val="uk-UA"/>
        </w:rPr>
        <w:t>",</w:t>
      </w:r>
      <w:r w:rsidR="00F02033">
        <w:rPr>
          <w:sz w:val="26"/>
          <w:szCs w:val="26"/>
          <w:lang w:val="uk-UA"/>
        </w:rPr>
        <w:t xml:space="preserve"> додаток </w:t>
      </w:r>
      <w:r w:rsidR="003E1CB6">
        <w:rPr>
          <w:sz w:val="26"/>
          <w:szCs w:val="26"/>
          <w:lang w:val="uk-UA"/>
        </w:rPr>
        <w:t xml:space="preserve"> №</w:t>
      </w:r>
      <w:r w:rsidR="00F02033">
        <w:rPr>
          <w:sz w:val="26"/>
          <w:szCs w:val="26"/>
          <w:lang w:val="uk-UA"/>
        </w:rPr>
        <w:t>10.</w:t>
      </w:r>
    </w:p>
    <w:p w:rsidR="006A7032" w:rsidRPr="007D2B7E" w:rsidRDefault="009669B6" w:rsidP="006A7032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lastRenderedPageBreak/>
        <w:t xml:space="preserve">     </w:t>
      </w:r>
      <w:r w:rsidR="006A7032" w:rsidRPr="007D2B7E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В місті Чорноморську функціонують два </w:t>
      </w:r>
      <w:r w:rsidR="00B5710E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медичних </w:t>
      </w:r>
      <w:r w:rsidR="006A7032" w:rsidRPr="007D2B7E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заклади:</w:t>
      </w:r>
    </w:p>
    <w:p w:rsidR="00824A53" w:rsidRDefault="006A7032" w:rsidP="006A7032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</w:pPr>
      <w:r w:rsidRPr="007D2B7E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- Державний заклад "Іллічівськ</w:t>
      </w:r>
      <w:r w:rsidR="00824A53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а </w:t>
      </w:r>
      <w:proofErr w:type="spellStart"/>
      <w:r w:rsidR="00824A53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бассейнова</w:t>
      </w:r>
      <w:proofErr w:type="spellEnd"/>
      <w:r w:rsidR="00824A53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лікарня на водному транспорті Міністерства охорони здоров'я України";</w:t>
      </w:r>
    </w:p>
    <w:p w:rsidR="006D53E8" w:rsidRPr="003E1CB6" w:rsidRDefault="006D53E8" w:rsidP="006D53E8">
      <w:pPr>
        <w:rPr>
          <w:sz w:val="26"/>
          <w:szCs w:val="26"/>
          <w:lang w:val="uk-UA"/>
        </w:rPr>
      </w:pPr>
      <w:r w:rsidRPr="003E1CB6">
        <w:rPr>
          <w:sz w:val="26"/>
          <w:szCs w:val="26"/>
          <w:lang w:val="uk-UA"/>
        </w:rPr>
        <w:t xml:space="preserve">-   </w:t>
      </w:r>
      <w:proofErr w:type="spellStart"/>
      <w:r w:rsidRPr="003E1CB6">
        <w:rPr>
          <w:sz w:val="26"/>
          <w:szCs w:val="26"/>
        </w:rPr>
        <w:t>Державний</w:t>
      </w:r>
      <w:proofErr w:type="spellEnd"/>
      <w:r w:rsidRPr="003E1CB6">
        <w:rPr>
          <w:sz w:val="26"/>
          <w:szCs w:val="26"/>
        </w:rPr>
        <w:t xml:space="preserve"> заклад "</w:t>
      </w:r>
      <w:proofErr w:type="spellStart"/>
      <w:r w:rsidRPr="003E1CB6">
        <w:rPr>
          <w:sz w:val="26"/>
          <w:szCs w:val="26"/>
        </w:rPr>
        <w:t>Стоматологічна</w:t>
      </w:r>
      <w:proofErr w:type="spellEnd"/>
      <w:r w:rsidRPr="003E1CB6">
        <w:rPr>
          <w:sz w:val="26"/>
          <w:szCs w:val="26"/>
        </w:rPr>
        <w:t xml:space="preserve"> </w:t>
      </w:r>
      <w:proofErr w:type="spellStart"/>
      <w:r w:rsidRPr="003E1CB6">
        <w:rPr>
          <w:sz w:val="26"/>
          <w:szCs w:val="26"/>
        </w:rPr>
        <w:t>поліклініка</w:t>
      </w:r>
      <w:proofErr w:type="spellEnd"/>
      <w:r w:rsidRPr="003E1CB6">
        <w:rPr>
          <w:sz w:val="26"/>
          <w:szCs w:val="26"/>
        </w:rPr>
        <w:t xml:space="preserve"> </w:t>
      </w:r>
      <w:proofErr w:type="spellStart"/>
      <w:r w:rsidRPr="003E1CB6">
        <w:rPr>
          <w:sz w:val="26"/>
          <w:szCs w:val="26"/>
        </w:rPr>
        <w:t>Міністерства</w:t>
      </w:r>
      <w:proofErr w:type="spellEnd"/>
      <w:r w:rsidRPr="003E1CB6">
        <w:rPr>
          <w:sz w:val="26"/>
          <w:szCs w:val="26"/>
        </w:rPr>
        <w:t xml:space="preserve"> </w:t>
      </w:r>
      <w:proofErr w:type="spellStart"/>
      <w:r w:rsidRPr="003E1CB6">
        <w:rPr>
          <w:sz w:val="26"/>
          <w:szCs w:val="26"/>
        </w:rPr>
        <w:t>охорони</w:t>
      </w:r>
      <w:proofErr w:type="spellEnd"/>
      <w:r w:rsidRPr="003E1CB6">
        <w:rPr>
          <w:sz w:val="26"/>
          <w:szCs w:val="26"/>
        </w:rPr>
        <w:t xml:space="preserve"> </w:t>
      </w:r>
      <w:proofErr w:type="spellStart"/>
      <w:r w:rsidRPr="003E1CB6">
        <w:rPr>
          <w:sz w:val="26"/>
          <w:szCs w:val="26"/>
        </w:rPr>
        <w:t>здоров`я</w:t>
      </w:r>
      <w:proofErr w:type="spellEnd"/>
      <w:r w:rsidRPr="003E1CB6">
        <w:rPr>
          <w:sz w:val="26"/>
          <w:szCs w:val="26"/>
        </w:rPr>
        <w:t xml:space="preserve"> </w:t>
      </w:r>
      <w:proofErr w:type="spellStart"/>
      <w:r w:rsidRPr="003E1CB6">
        <w:rPr>
          <w:sz w:val="26"/>
          <w:szCs w:val="26"/>
        </w:rPr>
        <w:t>України</w:t>
      </w:r>
      <w:proofErr w:type="spellEnd"/>
      <w:r w:rsidRPr="003E1CB6">
        <w:rPr>
          <w:sz w:val="26"/>
          <w:szCs w:val="26"/>
        </w:rPr>
        <w:t xml:space="preserve"> м. </w:t>
      </w:r>
      <w:r w:rsidR="00D91D6B">
        <w:rPr>
          <w:sz w:val="26"/>
          <w:szCs w:val="26"/>
          <w:lang w:val="uk-UA"/>
        </w:rPr>
        <w:t>Чорноморська</w:t>
      </w:r>
      <w:r w:rsidRPr="003E1CB6">
        <w:rPr>
          <w:sz w:val="26"/>
          <w:szCs w:val="26"/>
        </w:rPr>
        <w:t>"</w:t>
      </w:r>
      <w:r w:rsidRPr="003E1CB6">
        <w:rPr>
          <w:sz w:val="26"/>
          <w:szCs w:val="26"/>
          <w:lang w:val="uk-UA"/>
        </w:rPr>
        <w:t>.</w:t>
      </w:r>
    </w:p>
    <w:p w:rsidR="009D5E4C" w:rsidRPr="00142D82" w:rsidRDefault="009D5E4C" w:rsidP="00C71180">
      <w:pPr>
        <w:jc w:val="both"/>
        <w:rPr>
          <w:sz w:val="26"/>
          <w:szCs w:val="26"/>
          <w:highlight w:val="yellow"/>
          <w:lang w:val="uk-UA"/>
        </w:rPr>
      </w:pPr>
      <w:r>
        <w:rPr>
          <w:sz w:val="26"/>
          <w:szCs w:val="26"/>
          <w:lang w:val="uk-UA"/>
        </w:rPr>
        <w:tab/>
      </w:r>
    </w:p>
    <w:p w:rsidR="00C71180" w:rsidRPr="00442112" w:rsidRDefault="00C71180" w:rsidP="00C71180">
      <w:pPr>
        <w:jc w:val="both"/>
        <w:rPr>
          <w:sz w:val="26"/>
          <w:szCs w:val="26"/>
          <w:lang w:val="uk-UA"/>
        </w:rPr>
      </w:pPr>
      <w:r w:rsidRPr="00167B9B">
        <w:rPr>
          <w:sz w:val="26"/>
          <w:szCs w:val="26"/>
          <w:lang w:val="uk-UA"/>
        </w:rPr>
        <w:t xml:space="preserve">     - </w:t>
      </w:r>
      <w:r w:rsidRPr="00167B9B">
        <w:rPr>
          <w:b/>
          <w:sz w:val="26"/>
          <w:szCs w:val="26"/>
          <w:lang w:val="uk-UA"/>
        </w:rPr>
        <w:t xml:space="preserve">соціальний захист та </w:t>
      </w:r>
      <w:r w:rsidRPr="00442112">
        <w:rPr>
          <w:b/>
          <w:sz w:val="26"/>
          <w:szCs w:val="26"/>
          <w:lang w:val="uk-UA"/>
        </w:rPr>
        <w:t>соціальне забезпечення</w:t>
      </w:r>
      <w:r w:rsidRPr="00442112">
        <w:rPr>
          <w:sz w:val="26"/>
          <w:szCs w:val="26"/>
          <w:lang w:val="uk-UA"/>
        </w:rPr>
        <w:t xml:space="preserve"> –</w:t>
      </w:r>
      <w:r w:rsidR="00B5124C">
        <w:rPr>
          <w:sz w:val="26"/>
          <w:szCs w:val="26"/>
          <w:lang w:val="uk-UA"/>
        </w:rPr>
        <w:t>54 135</w:t>
      </w:r>
      <w:r w:rsidR="00007D66">
        <w:rPr>
          <w:sz w:val="26"/>
          <w:szCs w:val="26"/>
          <w:lang w:val="uk-UA"/>
        </w:rPr>
        <w:t>,</w:t>
      </w:r>
      <w:r w:rsidR="00B5124C">
        <w:rPr>
          <w:sz w:val="26"/>
          <w:szCs w:val="26"/>
          <w:lang w:val="uk-UA"/>
        </w:rPr>
        <w:t xml:space="preserve">9 </w:t>
      </w:r>
      <w:r w:rsidRPr="00442112">
        <w:rPr>
          <w:sz w:val="26"/>
          <w:szCs w:val="26"/>
          <w:lang w:val="uk-UA"/>
        </w:rPr>
        <w:t>тис. грн. (</w:t>
      </w:r>
      <w:r w:rsidR="00007D66">
        <w:rPr>
          <w:sz w:val="26"/>
          <w:szCs w:val="26"/>
          <w:lang w:val="uk-UA"/>
        </w:rPr>
        <w:t>3</w:t>
      </w:r>
      <w:r w:rsidR="00B5124C">
        <w:rPr>
          <w:sz w:val="26"/>
          <w:szCs w:val="26"/>
          <w:lang w:val="uk-UA"/>
        </w:rPr>
        <w:t>1</w:t>
      </w:r>
      <w:r w:rsidR="00007D66">
        <w:rPr>
          <w:sz w:val="26"/>
          <w:szCs w:val="26"/>
          <w:lang w:val="uk-UA"/>
        </w:rPr>
        <w:t>,</w:t>
      </w:r>
      <w:r w:rsidR="00B5124C">
        <w:rPr>
          <w:sz w:val="26"/>
          <w:szCs w:val="26"/>
          <w:lang w:val="uk-UA"/>
        </w:rPr>
        <w:t>5</w:t>
      </w:r>
      <w:r w:rsidRPr="00442112">
        <w:rPr>
          <w:sz w:val="26"/>
          <w:szCs w:val="26"/>
          <w:lang w:val="uk-UA"/>
        </w:rPr>
        <w:t>%);</w:t>
      </w:r>
      <w:r w:rsidRPr="00442112">
        <w:rPr>
          <w:sz w:val="26"/>
          <w:szCs w:val="26"/>
          <w:lang w:val="uk-UA"/>
        </w:rPr>
        <w:cr/>
      </w:r>
    </w:p>
    <w:p w:rsidR="00C71180" w:rsidRPr="00442112" w:rsidRDefault="00C71180" w:rsidP="00C71180">
      <w:pPr>
        <w:jc w:val="both"/>
        <w:rPr>
          <w:sz w:val="26"/>
          <w:szCs w:val="26"/>
          <w:lang w:val="uk-UA"/>
        </w:rPr>
      </w:pPr>
      <w:r w:rsidRPr="00442112">
        <w:rPr>
          <w:sz w:val="26"/>
          <w:szCs w:val="26"/>
          <w:lang w:val="uk-UA"/>
        </w:rPr>
        <w:t xml:space="preserve">     - </w:t>
      </w:r>
      <w:r w:rsidRPr="00442112">
        <w:rPr>
          <w:b/>
          <w:sz w:val="26"/>
          <w:szCs w:val="26"/>
          <w:lang w:val="uk-UA"/>
        </w:rPr>
        <w:t>житлово-комунальне господарство</w:t>
      </w:r>
      <w:r w:rsidRPr="00442112">
        <w:rPr>
          <w:sz w:val="26"/>
          <w:szCs w:val="26"/>
          <w:lang w:val="uk-UA"/>
        </w:rPr>
        <w:t xml:space="preserve"> –</w:t>
      </w:r>
      <w:r w:rsidR="00403626">
        <w:rPr>
          <w:sz w:val="26"/>
          <w:szCs w:val="26"/>
          <w:lang w:val="uk-UA"/>
        </w:rPr>
        <w:t>16 672</w:t>
      </w:r>
      <w:r w:rsidR="00007D66">
        <w:rPr>
          <w:sz w:val="26"/>
          <w:szCs w:val="26"/>
          <w:lang w:val="uk-UA"/>
        </w:rPr>
        <w:t>,</w:t>
      </w:r>
      <w:r w:rsidR="00403626">
        <w:rPr>
          <w:sz w:val="26"/>
          <w:szCs w:val="26"/>
          <w:lang w:val="uk-UA"/>
        </w:rPr>
        <w:t xml:space="preserve">0 </w:t>
      </w:r>
      <w:r w:rsidRPr="00442112">
        <w:rPr>
          <w:sz w:val="26"/>
          <w:szCs w:val="26"/>
          <w:lang w:val="uk-UA"/>
        </w:rPr>
        <w:t>тис.  грн. (</w:t>
      </w:r>
      <w:r w:rsidR="00403626">
        <w:rPr>
          <w:sz w:val="26"/>
          <w:szCs w:val="26"/>
          <w:lang w:val="uk-UA"/>
        </w:rPr>
        <w:t>9,7</w:t>
      </w:r>
      <w:r w:rsidRPr="00442112">
        <w:rPr>
          <w:sz w:val="26"/>
          <w:szCs w:val="26"/>
          <w:lang w:val="uk-UA"/>
        </w:rPr>
        <w:t>% );</w:t>
      </w:r>
    </w:p>
    <w:p w:rsidR="00C71180" w:rsidRPr="00442112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442112" w:rsidRDefault="00C71180" w:rsidP="00C71180">
      <w:pPr>
        <w:jc w:val="both"/>
        <w:rPr>
          <w:sz w:val="26"/>
          <w:szCs w:val="26"/>
          <w:lang w:val="uk-UA"/>
        </w:rPr>
      </w:pPr>
      <w:r w:rsidRPr="00442112">
        <w:rPr>
          <w:sz w:val="26"/>
          <w:szCs w:val="26"/>
          <w:lang w:val="uk-UA"/>
        </w:rPr>
        <w:t xml:space="preserve">     - </w:t>
      </w:r>
      <w:r w:rsidRPr="00442112">
        <w:rPr>
          <w:b/>
          <w:sz w:val="26"/>
          <w:szCs w:val="26"/>
          <w:lang w:val="uk-UA"/>
        </w:rPr>
        <w:t>функціонування місцевого самоврядування</w:t>
      </w:r>
      <w:r w:rsidRPr="00442112">
        <w:rPr>
          <w:sz w:val="26"/>
          <w:szCs w:val="26"/>
          <w:lang w:val="uk-UA"/>
        </w:rPr>
        <w:t xml:space="preserve"> –</w:t>
      </w:r>
      <w:r w:rsidR="00403626">
        <w:rPr>
          <w:sz w:val="26"/>
          <w:szCs w:val="26"/>
          <w:lang w:val="uk-UA"/>
        </w:rPr>
        <w:t>7 485</w:t>
      </w:r>
      <w:r w:rsidR="00007D66">
        <w:rPr>
          <w:sz w:val="26"/>
          <w:szCs w:val="26"/>
          <w:lang w:val="uk-UA"/>
        </w:rPr>
        <w:t>,</w:t>
      </w:r>
      <w:r w:rsidR="00403626">
        <w:rPr>
          <w:sz w:val="26"/>
          <w:szCs w:val="26"/>
          <w:lang w:val="uk-UA"/>
        </w:rPr>
        <w:t>1</w:t>
      </w:r>
      <w:r w:rsidRPr="00442112">
        <w:rPr>
          <w:sz w:val="26"/>
          <w:szCs w:val="26"/>
          <w:lang w:val="uk-UA"/>
        </w:rPr>
        <w:t>тис. грн. (</w:t>
      </w:r>
      <w:r w:rsidR="00007D66">
        <w:rPr>
          <w:sz w:val="26"/>
          <w:szCs w:val="26"/>
          <w:lang w:val="uk-UA"/>
        </w:rPr>
        <w:t>4</w:t>
      </w:r>
      <w:r w:rsidR="009A11CB">
        <w:rPr>
          <w:sz w:val="26"/>
          <w:szCs w:val="26"/>
          <w:lang w:val="uk-UA"/>
        </w:rPr>
        <w:t>,</w:t>
      </w:r>
      <w:r w:rsidR="00403626">
        <w:rPr>
          <w:sz w:val="26"/>
          <w:szCs w:val="26"/>
          <w:lang w:val="uk-UA"/>
        </w:rPr>
        <w:t>3</w:t>
      </w:r>
      <w:r w:rsidRPr="00442112">
        <w:rPr>
          <w:sz w:val="26"/>
          <w:szCs w:val="26"/>
          <w:lang w:val="uk-UA"/>
        </w:rPr>
        <w:t>% );</w:t>
      </w:r>
      <w:r w:rsidRPr="00442112">
        <w:rPr>
          <w:sz w:val="26"/>
          <w:szCs w:val="26"/>
          <w:lang w:val="uk-UA"/>
        </w:rPr>
        <w:cr/>
      </w:r>
    </w:p>
    <w:p w:rsidR="00C71180" w:rsidRPr="00442112" w:rsidRDefault="00C71180" w:rsidP="00C71180">
      <w:pPr>
        <w:jc w:val="both"/>
        <w:rPr>
          <w:sz w:val="26"/>
          <w:szCs w:val="26"/>
          <w:lang w:val="uk-UA"/>
        </w:rPr>
      </w:pPr>
      <w:r w:rsidRPr="00442112">
        <w:rPr>
          <w:sz w:val="26"/>
          <w:szCs w:val="26"/>
          <w:lang w:val="uk-UA"/>
        </w:rPr>
        <w:t xml:space="preserve">     - </w:t>
      </w:r>
      <w:r w:rsidRPr="00442112">
        <w:rPr>
          <w:b/>
          <w:sz w:val="26"/>
          <w:szCs w:val="26"/>
          <w:lang w:val="uk-UA"/>
        </w:rPr>
        <w:t>культура та мистецтво</w:t>
      </w:r>
      <w:r w:rsidRPr="00442112">
        <w:rPr>
          <w:sz w:val="26"/>
          <w:szCs w:val="26"/>
          <w:lang w:val="uk-UA"/>
        </w:rPr>
        <w:t xml:space="preserve">  –</w:t>
      </w:r>
      <w:r w:rsidR="00403626">
        <w:rPr>
          <w:sz w:val="26"/>
          <w:szCs w:val="26"/>
          <w:lang w:val="uk-UA"/>
        </w:rPr>
        <w:t>5 268</w:t>
      </w:r>
      <w:r w:rsidR="00541BAB">
        <w:rPr>
          <w:sz w:val="26"/>
          <w:szCs w:val="26"/>
          <w:lang w:val="uk-UA"/>
        </w:rPr>
        <w:t>,</w:t>
      </w:r>
      <w:r w:rsidR="00403626">
        <w:rPr>
          <w:sz w:val="26"/>
          <w:szCs w:val="26"/>
          <w:lang w:val="uk-UA"/>
        </w:rPr>
        <w:t>4</w:t>
      </w:r>
      <w:r w:rsidRPr="00442112">
        <w:rPr>
          <w:sz w:val="26"/>
          <w:szCs w:val="26"/>
          <w:lang w:val="uk-UA"/>
        </w:rPr>
        <w:t>тис.  грн. (</w:t>
      </w:r>
      <w:r w:rsidR="00403626">
        <w:rPr>
          <w:sz w:val="26"/>
          <w:szCs w:val="26"/>
          <w:lang w:val="uk-UA"/>
        </w:rPr>
        <w:t>3,1</w:t>
      </w:r>
      <w:r w:rsidRPr="00442112">
        <w:rPr>
          <w:sz w:val="26"/>
          <w:szCs w:val="26"/>
          <w:lang w:val="uk-UA"/>
        </w:rPr>
        <w:t>% );</w:t>
      </w: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F72576" w:rsidRDefault="00C71180" w:rsidP="00C71180">
      <w:pPr>
        <w:jc w:val="both"/>
        <w:rPr>
          <w:sz w:val="26"/>
          <w:szCs w:val="26"/>
          <w:lang w:val="uk-UA"/>
        </w:rPr>
      </w:pPr>
      <w:r w:rsidRPr="00F72576">
        <w:rPr>
          <w:sz w:val="26"/>
          <w:szCs w:val="26"/>
          <w:lang w:val="uk-UA"/>
        </w:rPr>
        <w:t xml:space="preserve">     - </w:t>
      </w:r>
      <w:r w:rsidRPr="00F72576">
        <w:rPr>
          <w:b/>
          <w:sz w:val="26"/>
          <w:szCs w:val="26"/>
          <w:lang w:val="uk-UA"/>
        </w:rPr>
        <w:t xml:space="preserve">інші </w:t>
      </w:r>
      <w:r w:rsidR="00276207" w:rsidRPr="00F72576">
        <w:rPr>
          <w:b/>
          <w:sz w:val="26"/>
          <w:szCs w:val="26"/>
          <w:lang w:val="uk-UA"/>
        </w:rPr>
        <w:t>послуги</w:t>
      </w:r>
      <w:r w:rsidRPr="00F72576">
        <w:rPr>
          <w:b/>
          <w:sz w:val="26"/>
          <w:szCs w:val="26"/>
          <w:lang w:val="uk-UA"/>
        </w:rPr>
        <w:t>, пов'язані</w:t>
      </w:r>
      <w:r w:rsidRPr="00F72576">
        <w:rPr>
          <w:sz w:val="26"/>
          <w:szCs w:val="26"/>
          <w:lang w:val="uk-UA"/>
        </w:rPr>
        <w:t xml:space="preserve"> </w:t>
      </w:r>
      <w:r w:rsidRPr="00F72576">
        <w:rPr>
          <w:b/>
          <w:sz w:val="26"/>
          <w:szCs w:val="26"/>
          <w:lang w:val="uk-UA"/>
        </w:rPr>
        <w:t>з економічною діяльністю</w:t>
      </w:r>
      <w:r w:rsidRPr="00F72576">
        <w:rPr>
          <w:sz w:val="26"/>
          <w:szCs w:val="26"/>
          <w:lang w:val="uk-UA"/>
        </w:rPr>
        <w:t xml:space="preserve"> –</w:t>
      </w:r>
      <w:r w:rsidR="00541BAB">
        <w:rPr>
          <w:sz w:val="26"/>
          <w:szCs w:val="26"/>
          <w:lang w:val="uk-UA"/>
        </w:rPr>
        <w:t xml:space="preserve">3 </w:t>
      </w:r>
      <w:r w:rsidR="004F41D7">
        <w:rPr>
          <w:sz w:val="26"/>
          <w:szCs w:val="26"/>
          <w:lang w:val="uk-UA"/>
        </w:rPr>
        <w:t>922</w:t>
      </w:r>
      <w:r w:rsidR="00541BAB">
        <w:rPr>
          <w:sz w:val="26"/>
          <w:szCs w:val="26"/>
          <w:lang w:val="uk-UA"/>
        </w:rPr>
        <w:t>,</w:t>
      </w:r>
      <w:r w:rsidR="004F41D7">
        <w:rPr>
          <w:sz w:val="26"/>
          <w:szCs w:val="26"/>
          <w:lang w:val="uk-UA"/>
        </w:rPr>
        <w:t>4</w:t>
      </w:r>
      <w:r w:rsidRPr="00F72576">
        <w:rPr>
          <w:sz w:val="26"/>
          <w:szCs w:val="26"/>
          <w:lang w:val="uk-UA"/>
        </w:rPr>
        <w:t>тис. грн. (</w:t>
      </w:r>
      <w:r w:rsidR="006C125B">
        <w:rPr>
          <w:sz w:val="26"/>
          <w:szCs w:val="26"/>
          <w:lang w:val="uk-UA"/>
        </w:rPr>
        <w:t>2,</w:t>
      </w:r>
      <w:r w:rsidR="004F41D7">
        <w:rPr>
          <w:sz w:val="26"/>
          <w:szCs w:val="26"/>
          <w:lang w:val="uk-UA"/>
        </w:rPr>
        <w:t>3</w:t>
      </w:r>
      <w:r w:rsidRPr="00F72576">
        <w:rPr>
          <w:sz w:val="26"/>
          <w:szCs w:val="26"/>
          <w:lang w:val="uk-UA"/>
        </w:rPr>
        <w:t>%),  із яких:</w:t>
      </w: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877F12">
        <w:rPr>
          <w:sz w:val="26"/>
          <w:szCs w:val="26"/>
          <w:lang w:val="uk-UA"/>
        </w:rPr>
        <w:t xml:space="preserve">     - надано фінансову підтримку комунальним підприємствам :</w:t>
      </w:r>
    </w:p>
    <w:p w:rsidR="007656BC" w:rsidRPr="00877F12" w:rsidRDefault="007656BC" w:rsidP="007656BC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877F12">
        <w:rPr>
          <w:sz w:val="26"/>
          <w:szCs w:val="26"/>
          <w:lang w:val="uk-UA"/>
        </w:rPr>
        <w:t>"</w:t>
      </w:r>
      <w:proofErr w:type="spellStart"/>
      <w:r w:rsidRPr="00877F12">
        <w:rPr>
          <w:sz w:val="26"/>
          <w:szCs w:val="26"/>
          <w:lang w:val="uk-UA"/>
        </w:rPr>
        <w:t>Чорноморськводоканал</w:t>
      </w:r>
      <w:proofErr w:type="spellEnd"/>
      <w:r w:rsidRPr="00877F12">
        <w:rPr>
          <w:sz w:val="26"/>
          <w:szCs w:val="26"/>
          <w:lang w:val="uk-UA"/>
        </w:rPr>
        <w:t>" - 3</w:t>
      </w:r>
      <w:r>
        <w:rPr>
          <w:sz w:val="26"/>
          <w:szCs w:val="26"/>
          <w:lang w:val="uk-UA"/>
        </w:rPr>
        <w:t>8</w:t>
      </w:r>
      <w:r w:rsidRPr="00877F12">
        <w:rPr>
          <w:sz w:val="26"/>
          <w:szCs w:val="26"/>
          <w:lang w:val="uk-UA"/>
        </w:rPr>
        <w:t>0,0 тис. грн.;</w:t>
      </w:r>
    </w:p>
    <w:p w:rsidR="00C71180" w:rsidRPr="00A878CC" w:rsidRDefault="00C71180" w:rsidP="00C71180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A878CC">
        <w:rPr>
          <w:sz w:val="26"/>
          <w:szCs w:val="26"/>
          <w:lang w:val="uk-UA"/>
        </w:rPr>
        <w:t>"</w:t>
      </w:r>
      <w:proofErr w:type="spellStart"/>
      <w:r w:rsidRPr="00A878CC">
        <w:rPr>
          <w:sz w:val="26"/>
          <w:szCs w:val="26"/>
          <w:lang w:val="uk-UA"/>
        </w:rPr>
        <w:t>Чорноморськтеплоенерго</w:t>
      </w:r>
      <w:proofErr w:type="spellEnd"/>
      <w:r w:rsidRPr="00A878CC">
        <w:rPr>
          <w:sz w:val="26"/>
          <w:szCs w:val="26"/>
          <w:lang w:val="uk-UA"/>
        </w:rPr>
        <w:t>" -</w:t>
      </w:r>
      <w:r w:rsidR="00316898">
        <w:rPr>
          <w:sz w:val="26"/>
          <w:szCs w:val="26"/>
          <w:lang w:val="uk-UA"/>
        </w:rPr>
        <w:t>3</w:t>
      </w:r>
      <w:r w:rsidR="00C26D12">
        <w:rPr>
          <w:sz w:val="26"/>
          <w:szCs w:val="26"/>
          <w:lang w:val="uk-UA"/>
        </w:rPr>
        <w:t xml:space="preserve"> 000</w:t>
      </w:r>
      <w:r w:rsidR="00627EA8">
        <w:rPr>
          <w:sz w:val="26"/>
          <w:szCs w:val="26"/>
          <w:lang w:val="uk-UA"/>
        </w:rPr>
        <w:t xml:space="preserve">,0 </w:t>
      </w:r>
      <w:r w:rsidRPr="00A878CC">
        <w:rPr>
          <w:sz w:val="26"/>
          <w:szCs w:val="26"/>
          <w:lang w:val="uk-UA"/>
        </w:rPr>
        <w:t>тис. грн.;</w:t>
      </w:r>
    </w:p>
    <w:p w:rsidR="00C71180" w:rsidRDefault="00C71180" w:rsidP="00C71180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A878CC">
        <w:rPr>
          <w:sz w:val="26"/>
          <w:szCs w:val="26"/>
          <w:lang w:val="uk-UA"/>
        </w:rPr>
        <w:t>"Муніципальна охорона" –</w:t>
      </w:r>
      <w:r w:rsidR="00D120A1">
        <w:rPr>
          <w:sz w:val="26"/>
          <w:szCs w:val="26"/>
          <w:lang w:val="uk-UA"/>
        </w:rPr>
        <w:t>495</w:t>
      </w:r>
      <w:r w:rsidR="00316898">
        <w:rPr>
          <w:sz w:val="26"/>
          <w:szCs w:val="26"/>
          <w:lang w:val="uk-UA"/>
        </w:rPr>
        <w:t>,</w:t>
      </w:r>
      <w:r w:rsidR="00D120A1">
        <w:rPr>
          <w:sz w:val="26"/>
          <w:szCs w:val="26"/>
          <w:lang w:val="uk-UA"/>
        </w:rPr>
        <w:t>8</w:t>
      </w:r>
      <w:r w:rsidR="00C26D12">
        <w:rPr>
          <w:sz w:val="26"/>
          <w:szCs w:val="26"/>
          <w:lang w:val="uk-UA"/>
        </w:rPr>
        <w:t xml:space="preserve"> </w:t>
      </w:r>
      <w:r w:rsidRPr="00A878CC">
        <w:rPr>
          <w:sz w:val="26"/>
          <w:szCs w:val="26"/>
          <w:lang w:val="uk-UA"/>
        </w:rPr>
        <w:t>тис. грн.</w:t>
      </w:r>
      <w:r w:rsidR="002D1E1E">
        <w:rPr>
          <w:sz w:val="26"/>
          <w:szCs w:val="26"/>
          <w:lang w:val="uk-UA"/>
        </w:rPr>
        <w:t>;</w:t>
      </w:r>
    </w:p>
    <w:p w:rsidR="002D1E1E" w:rsidRPr="001849B1" w:rsidRDefault="002D1E1E" w:rsidP="00C71180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1849B1">
        <w:rPr>
          <w:sz w:val="26"/>
          <w:szCs w:val="26"/>
          <w:lang w:val="uk-UA"/>
        </w:rPr>
        <w:t xml:space="preserve">"Міському </w:t>
      </w:r>
      <w:proofErr w:type="spellStart"/>
      <w:r w:rsidRPr="001849B1">
        <w:rPr>
          <w:sz w:val="26"/>
          <w:szCs w:val="26"/>
          <w:lang w:val="uk-UA"/>
        </w:rPr>
        <w:t>управлінню-житлово</w:t>
      </w:r>
      <w:proofErr w:type="spellEnd"/>
      <w:r w:rsidRPr="001849B1">
        <w:rPr>
          <w:sz w:val="26"/>
          <w:szCs w:val="26"/>
          <w:lang w:val="uk-UA"/>
        </w:rPr>
        <w:t xml:space="preserve"> комунального господарства" -                      37,5 </w:t>
      </w:r>
      <w:proofErr w:type="spellStart"/>
      <w:r w:rsidRPr="001849B1">
        <w:rPr>
          <w:sz w:val="26"/>
          <w:szCs w:val="26"/>
          <w:lang w:val="uk-UA"/>
        </w:rPr>
        <w:t>тис.грн</w:t>
      </w:r>
      <w:proofErr w:type="spellEnd"/>
      <w:r w:rsidRPr="001849B1">
        <w:rPr>
          <w:sz w:val="26"/>
          <w:szCs w:val="26"/>
          <w:lang w:val="uk-UA"/>
        </w:rPr>
        <w:t>.</w:t>
      </w:r>
    </w:p>
    <w:p w:rsidR="00C71180" w:rsidRDefault="00C71180" w:rsidP="00C71180">
      <w:pPr>
        <w:pStyle w:val="a6"/>
        <w:spacing w:line="276" w:lineRule="auto"/>
        <w:ind w:left="0" w:firstLine="284"/>
        <w:jc w:val="both"/>
        <w:rPr>
          <w:sz w:val="26"/>
          <w:szCs w:val="26"/>
          <w:lang w:val="uk-UA"/>
        </w:rPr>
      </w:pPr>
      <w:r w:rsidRPr="001C697F">
        <w:rPr>
          <w:sz w:val="26"/>
          <w:szCs w:val="26"/>
          <w:lang w:val="uk-UA"/>
        </w:rPr>
        <w:t xml:space="preserve">- на проведення відшкодування населенню відсотків за кредитами в рамках Програми енергозбереження та енергоефективності м. Чорноморська на 2015 - 2018 роки - </w:t>
      </w:r>
      <w:r w:rsidR="00D120A1">
        <w:rPr>
          <w:sz w:val="26"/>
          <w:szCs w:val="26"/>
          <w:lang w:val="uk-UA"/>
        </w:rPr>
        <w:t>9</w:t>
      </w:r>
      <w:r w:rsidR="00D45243">
        <w:rPr>
          <w:sz w:val="26"/>
          <w:szCs w:val="26"/>
          <w:lang w:val="uk-UA"/>
        </w:rPr>
        <w:t>,</w:t>
      </w:r>
      <w:r w:rsidR="00D120A1">
        <w:rPr>
          <w:sz w:val="26"/>
          <w:szCs w:val="26"/>
          <w:lang w:val="uk-UA"/>
        </w:rPr>
        <w:t>1</w:t>
      </w:r>
      <w:r w:rsidR="00D45243">
        <w:rPr>
          <w:sz w:val="26"/>
          <w:szCs w:val="26"/>
          <w:lang w:val="uk-UA"/>
        </w:rPr>
        <w:t xml:space="preserve"> </w:t>
      </w:r>
      <w:r w:rsidRPr="001C697F">
        <w:rPr>
          <w:sz w:val="26"/>
          <w:szCs w:val="26"/>
          <w:lang w:val="uk-UA"/>
        </w:rPr>
        <w:t xml:space="preserve">тис. грн. </w:t>
      </w:r>
    </w:p>
    <w:p w:rsidR="00394925" w:rsidRDefault="00394925" w:rsidP="00C71180">
      <w:pPr>
        <w:pStyle w:val="a6"/>
        <w:spacing w:line="276" w:lineRule="auto"/>
        <w:ind w:left="0" w:firstLine="284"/>
        <w:jc w:val="both"/>
        <w:rPr>
          <w:sz w:val="26"/>
          <w:szCs w:val="26"/>
          <w:lang w:val="uk-UA"/>
        </w:rPr>
      </w:pPr>
    </w:p>
    <w:p w:rsidR="00394925" w:rsidRPr="00F72576" w:rsidRDefault="00394925" w:rsidP="00394925">
      <w:pPr>
        <w:jc w:val="both"/>
        <w:rPr>
          <w:sz w:val="26"/>
          <w:szCs w:val="26"/>
          <w:lang w:val="uk-UA"/>
        </w:rPr>
      </w:pPr>
      <w:r w:rsidRPr="00F72576">
        <w:rPr>
          <w:sz w:val="26"/>
          <w:szCs w:val="26"/>
          <w:lang w:val="uk-UA"/>
        </w:rPr>
        <w:t xml:space="preserve">     - </w:t>
      </w:r>
      <w:r w:rsidRPr="00F72576">
        <w:rPr>
          <w:b/>
          <w:sz w:val="26"/>
          <w:szCs w:val="26"/>
          <w:lang w:val="uk-UA"/>
        </w:rPr>
        <w:t>субвенція з міського бюджету державному бюджету</w:t>
      </w:r>
      <w:r w:rsidRPr="00F72576">
        <w:rPr>
          <w:sz w:val="26"/>
          <w:szCs w:val="26"/>
          <w:lang w:val="uk-UA"/>
        </w:rPr>
        <w:t xml:space="preserve">  на виконання  програм  соціально - економічного  та  культурного розвитку - </w:t>
      </w:r>
      <w:r>
        <w:rPr>
          <w:sz w:val="26"/>
          <w:szCs w:val="26"/>
          <w:lang w:val="uk-UA"/>
        </w:rPr>
        <w:t xml:space="preserve">1 505,0 </w:t>
      </w:r>
      <w:r w:rsidRPr="00F72576">
        <w:rPr>
          <w:sz w:val="26"/>
          <w:szCs w:val="26"/>
          <w:lang w:val="uk-UA"/>
        </w:rPr>
        <w:t xml:space="preserve">тис. грн. ( </w:t>
      </w:r>
      <w:r>
        <w:rPr>
          <w:sz w:val="26"/>
          <w:szCs w:val="26"/>
          <w:lang w:val="uk-UA"/>
        </w:rPr>
        <w:t>1</w:t>
      </w:r>
      <w:r w:rsidRPr="00F72576">
        <w:rPr>
          <w:sz w:val="26"/>
          <w:szCs w:val="26"/>
          <w:lang w:val="uk-UA"/>
        </w:rPr>
        <w:t>,</w:t>
      </w:r>
      <w:r w:rsidR="00F204BC">
        <w:rPr>
          <w:sz w:val="26"/>
          <w:szCs w:val="26"/>
          <w:lang w:val="uk-UA"/>
        </w:rPr>
        <w:t>3</w:t>
      </w:r>
      <w:r w:rsidRPr="00F72576">
        <w:rPr>
          <w:sz w:val="26"/>
          <w:szCs w:val="26"/>
          <w:lang w:val="uk-UA"/>
        </w:rPr>
        <w:t xml:space="preserve"> % ),  які             профінансовані :</w:t>
      </w:r>
    </w:p>
    <w:p w:rsidR="00394925" w:rsidRPr="00EB1EB5" w:rsidRDefault="00394925" w:rsidP="00394925">
      <w:pPr>
        <w:pStyle w:val="a6"/>
        <w:numPr>
          <w:ilvl w:val="0"/>
          <w:numId w:val="7"/>
        </w:numPr>
        <w:spacing w:line="276" w:lineRule="auto"/>
        <w:ind w:left="1134" w:firstLine="0"/>
        <w:jc w:val="both"/>
        <w:rPr>
          <w:sz w:val="26"/>
          <w:szCs w:val="26"/>
          <w:lang w:val="uk-UA"/>
        </w:rPr>
      </w:pPr>
      <w:r w:rsidRPr="00EB1EB5">
        <w:rPr>
          <w:sz w:val="26"/>
          <w:szCs w:val="26"/>
          <w:lang w:val="uk-UA"/>
        </w:rPr>
        <w:t xml:space="preserve">головному управлінню державної служби надзвичайних ситуацій -                    </w:t>
      </w:r>
      <w:r w:rsidR="00C5215F">
        <w:rPr>
          <w:sz w:val="26"/>
          <w:szCs w:val="26"/>
          <w:lang w:val="uk-UA"/>
        </w:rPr>
        <w:t>1 505,0</w:t>
      </w:r>
      <w:r w:rsidR="00AD6907">
        <w:rPr>
          <w:sz w:val="26"/>
          <w:szCs w:val="26"/>
          <w:lang w:val="uk-UA"/>
        </w:rPr>
        <w:t xml:space="preserve"> </w:t>
      </w:r>
      <w:proofErr w:type="spellStart"/>
      <w:r w:rsidRPr="00EB1EB5">
        <w:rPr>
          <w:sz w:val="26"/>
          <w:szCs w:val="26"/>
          <w:lang w:val="uk-UA"/>
        </w:rPr>
        <w:t>тис.грн</w:t>
      </w:r>
      <w:proofErr w:type="spellEnd"/>
      <w:r w:rsidRPr="00EB1EB5">
        <w:rPr>
          <w:sz w:val="26"/>
          <w:szCs w:val="26"/>
          <w:lang w:val="uk-UA"/>
        </w:rPr>
        <w:t>.</w:t>
      </w:r>
      <w:r w:rsidR="00AD6907">
        <w:rPr>
          <w:sz w:val="26"/>
          <w:szCs w:val="26"/>
          <w:lang w:val="uk-UA"/>
        </w:rPr>
        <w:t>;</w:t>
      </w: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6D087B" w:rsidRDefault="00C71180" w:rsidP="00C71180">
      <w:pPr>
        <w:jc w:val="both"/>
        <w:rPr>
          <w:sz w:val="26"/>
          <w:szCs w:val="26"/>
          <w:lang w:val="uk-UA"/>
        </w:rPr>
      </w:pPr>
      <w:r w:rsidRPr="006D087B">
        <w:rPr>
          <w:sz w:val="26"/>
          <w:szCs w:val="26"/>
          <w:lang w:val="uk-UA"/>
        </w:rPr>
        <w:t xml:space="preserve">     -</w:t>
      </w:r>
      <w:r w:rsidR="007718C7">
        <w:rPr>
          <w:sz w:val="26"/>
          <w:szCs w:val="26"/>
          <w:lang w:val="uk-UA"/>
        </w:rPr>
        <w:t xml:space="preserve"> </w:t>
      </w:r>
      <w:r w:rsidRPr="006D087B">
        <w:rPr>
          <w:b/>
          <w:sz w:val="26"/>
          <w:szCs w:val="26"/>
          <w:lang w:val="uk-UA"/>
        </w:rPr>
        <w:t>фізична культура та спорт</w:t>
      </w:r>
      <w:r w:rsidRPr="006D087B">
        <w:rPr>
          <w:sz w:val="26"/>
          <w:szCs w:val="26"/>
          <w:lang w:val="uk-UA"/>
        </w:rPr>
        <w:t xml:space="preserve"> </w:t>
      </w:r>
      <w:r w:rsidRPr="006D087B">
        <w:rPr>
          <w:b/>
          <w:sz w:val="26"/>
          <w:szCs w:val="26"/>
          <w:lang w:val="uk-UA"/>
        </w:rPr>
        <w:t>–</w:t>
      </w:r>
      <w:r w:rsidR="00AD6907">
        <w:rPr>
          <w:b/>
          <w:sz w:val="26"/>
          <w:szCs w:val="26"/>
          <w:lang w:val="uk-UA"/>
        </w:rPr>
        <w:t xml:space="preserve"> </w:t>
      </w:r>
      <w:r w:rsidR="00525B9B" w:rsidRPr="001C4F82">
        <w:rPr>
          <w:sz w:val="26"/>
          <w:szCs w:val="26"/>
          <w:lang w:val="uk-UA"/>
        </w:rPr>
        <w:t>1 210</w:t>
      </w:r>
      <w:r w:rsidR="000B40CD" w:rsidRPr="00AD6907">
        <w:rPr>
          <w:sz w:val="26"/>
          <w:szCs w:val="26"/>
          <w:lang w:val="uk-UA"/>
        </w:rPr>
        <w:t>,</w:t>
      </w:r>
      <w:r w:rsidR="00525B9B">
        <w:rPr>
          <w:sz w:val="26"/>
          <w:szCs w:val="26"/>
          <w:lang w:val="uk-UA"/>
        </w:rPr>
        <w:t>7</w:t>
      </w:r>
      <w:r w:rsidR="00D45243">
        <w:rPr>
          <w:b/>
          <w:sz w:val="26"/>
          <w:szCs w:val="26"/>
          <w:lang w:val="uk-UA"/>
        </w:rPr>
        <w:t xml:space="preserve"> </w:t>
      </w:r>
      <w:r w:rsidR="006D087B" w:rsidRPr="006D087B">
        <w:rPr>
          <w:sz w:val="26"/>
          <w:szCs w:val="26"/>
          <w:lang w:val="uk-UA"/>
        </w:rPr>
        <w:t>тис. грн. ( 0,</w:t>
      </w:r>
      <w:r w:rsidR="00D45243">
        <w:rPr>
          <w:sz w:val="26"/>
          <w:szCs w:val="26"/>
          <w:lang w:val="uk-UA"/>
        </w:rPr>
        <w:t>0</w:t>
      </w:r>
      <w:r w:rsidR="001C4F82">
        <w:rPr>
          <w:sz w:val="26"/>
          <w:szCs w:val="26"/>
          <w:lang w:val="uk-UA"/>
        </w:rPr>
        <w:t>7</w:t>
      </w:r>
      <w:r w:rsidRPr="006D087B">
        <w:rPr>
          <w:sz w:val="26"/>
          <w:szCs w:val="26"/>
          <w:lang w:val="uk-UA"/>
        </w:rPr>
        <w:t xml:space="preserve"> % );</w:t>
      </w:r>
    </w:p>
    <w:p w:rsidR="00C71180" w:rsidRPr="006D087B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6D087B" w:rsidRDefault="00C71180" w:rsidP="00C71180">
      <w:pPr>
        <w:jc w:val="both"/>
        <w:rPr>
          <w:sz w:val="26"/>
          <w:szCs w:val="26"/>
          <w:lang w:val="uk-UA"/>
        </w:rPr>
      </w:pPr>
      <w:r w:rsidRPr="006D087B">
        <w:rPr>
          <w:sz w:val="26"/>
          <w:szCs w:val="26"/>
          <w:lang w:val="uk-UA"/>
        </w:rPr>
        <w:t xml:space="preserve">     - </w:t>
      </w:r>
      <w:r w:rsidR="007718C7">
        <w:rPr>
          <w:sz w:val="26"/>
          <w:szCs w:val="26"/>
          <w:lang w:val="uk-UA"/>
        </w:rPr>
        <w:t xml:space="preserve"> </w:t>
      </w:r>
      <w:r w:rsidRPr="006D087B">
        <w:rPr>
          <w:b/>
          <w:sz w:val="26"/>
          <w:szCs w:val="26"/>
          <w:lang w:val="uk-UA"/>
        </w:rPr>
        <w:t>засоби масової інформації</w:t>
      </w:r>
      <w:r w:rsidRPr="006D087B">
        <w:rPr>
          <w:sz w:val="26"/>
          <w:szCs w:val="26"/>
          <w:lang w:val="uk-UA"/>
        </w:rPr>
        <w:t xml:space="preserve"> –  </w:t>
      </w:r>
      <w:r w:rsidR="001947C8">
        <w:rPr>
          <w:sz w:val="26"/>
          <w:szCs w:val="26"/>
          <w:lang w:val="uk-UA"/>
        </w:rPr>
        <w:t>511</w:t>
      </w:r>
      <w:r w:rsidR="000B40CD">
        <w:rPr>
          <w:sz w:val="26"/>
          <w:szCs w:val="26"/>
          <w:lang w:val="uk-UA"/>
        </w:rPr>
        <w:t>,</w:t>
      </w:r>
      <w:r w:rsidR="001947C8">
        <w:rPr>
          <w:sz w:val="26"/>
          <w:szCs w:val="26"/>
          <w:lang w:val="uk-UA"/>
        </w:rPr>
        <w:t>2</w:t>
      </w:r>
      <w:r w:rsidR="00D45243">
        <w:rPr>
          <w:sz w:val="26"/>
          <w:szCs w:val="26"/>
          <w:lang w:val="uk-UA"/>
        </w:rPr>
        <w:t xml:space="preserve"> </w:t>
      </w:r>
      <w:r w:rsidRPr="006D087B">
        <w:rPr>
          <w:sz w:val="26"/>
          <w:szCs w:val="26"/>
          <w:lang w:val="uk-UA"/>
        </w:rPr>
        <w:t>тис. грн. (0,</w:t>
      </w:r>
      <w:r w:rsidR="00D45243">
        <w:rPr>
          <w:sz w:val="26"/>
          <w:szCs w:val="26"/>
          <w:lang w:val="uk-UA"/>
        </w:rPr>
        <w:t>0</w:t>
      </w:r>
      <w:r w:rsidR="001947C8">
        <w:rPr>
          <w:sz w:val="26"/>
          <w:szCs w:val="26"/>
          <w:lang w:val="uk-UA"/>
        </w:rPr>
        <w:t>3</w:t>
      </w:r>
      <w:r w:rsidRPr="006D087B">
        <w:rPr>
          <w:sz w:val="26"/>
          <w:szCs w:val="26"/>
          <w:lang w:val="uk-UA"/>
        </w:rPr>
        <w:t xml:space="preserve"> % );</w:t>
      </w: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6D087B" w:rsidRDefault="00C71180" w:rsidP="00C71180">
      <w:pPr>
        <w:jc w:val="both"/>
        <w:rPr>
          <w:sz w:val="26"/>
          <w:szCs w:val="26"/>
          <w:lang w:val="uk-UA"/>
        </w:rPr>
      </w:pPr>
      <w:r w:rsidRPr="006D087B">
        <w:rPr>
          <w:sz w:val="26"/>
          <w:szCs w:val="26"/>
          <w:lang w:val="uk-UA"/>
        </w:rPr>
        <w:t xml:space="preserve">     -</w:t>
      </w:r>
      <w:r w:rsidR="007718C7">
        <w:rPr>
          <w:sz w:val="26"/>
          <w:szCs w:val="26"/>
          <w:lang w:val="uk-UA"/>
        </w:rPr>
        <w:t xml:space="preserve"> </w:t>
      </w:r>
      <w:r w:rsidRPr="006D087B">
        <w:rPr>
          <w:b/>
          <w:sz w:val="26"/>
          <w:szCs w:val="26"/>
          <w:lang w:val="uk-UA"/>
        </w:rPr>
        <w:t>реверсна дотація</w:t>
      </w:r>
      <w:r w:rsidRPr="006D087B">
        <w:rPr>
          <w:sz w:val="26"/>
          <w:szCs w:val="26"/>
          <w:lang w:val="uk-UA"/>
        </w:rPr>
        <w:t xml:space="preserve"> (кошти, що перераховані державному бюджету) -                     </w:t>
      </w:r>
      <w:r w:rsidR="001947C8">
        <w:rPr>
          <w:sz w:val="26"/>
          <w:szCs w:val="26"/>
          <w:lang w:val="uk-UA"/>
        </w:rPr>
        <w:t>8 014</w:t>
      </w:r>
      <w:r w:rsidR="002025C9">
        <w:rPr>
          <w:sz w:val="26"/>
          <w:szCs w:val="26"/>
          <w:lang w:val="uk-UA"/>
        </w:rPr>
        <w:t>,</w:t>
      </w:r>
      <w:r w:rsidR="001947C8">
        <w:rPr>
          <w:sz w:val="26"/>
          <w:szCs w:val="26"/>
          <w:lang w:val="uk-UA"/>
        </w:rPr>
        <w:t>2</w:t>
      </w:r>
      <w:r w:rsidR="00E7116A">
        <w:rPr>
          <w:sz w:val="26"/>
          <w:szCs w:val="26"/>
          <w:lang w:val="uk-UA"/>
        </w:rPr>
        <w:t xml:space="preserve"> </w:t>
      </w:r>
      <w:r w:rsidRPr="006D087B">
        <w:rPr>
          <w:sz w:val="26"/>
          <w:szCs w:val="26"/>
          <w:lang w:val="uk-UA"/>
        </w:rPr>
        <w:t>тис. грн.  (</w:t>
      </w:r>
      <w:r w:rsidR="002025C9">
        <w:rPr>
          <w:sz w:val="26"/>
          <w:szCs w:val="26"/>
          <w:lang w:val="uk-UA"/>
        </w:rPr>
        <w:t>4,6</w:t>
      </w:r>
      <w:r w:rsidRPr="006D087B">
        <w:rPr>
          <w:sz w:val="26"/>
          <w:szCs w:val="26"/>
          <w:lang w:val="uk-UA"/>
        </w:rPr>
        <w:t>%);</w:t>
      </w:r>
    </w:p>
    <w:p w:rsidR="006D6009" w:rsidRPr="00142D82" w:rsidRDefault="006D6009" w:rsidP="00C71180">
      <w:pPr>
        <w:jc w:val="both"/>
        <w:rPr>
          <w:sz w:val="26"/>
          <w:szCs w:val="26"/>
          <w:highlight w:val="yellow"/>
          <w:lang w:val="uk-UA"/>
        </w:rPr>
      </w:pPr>
    </w:p>
    <w:p w:rsidR="00DA61AF" w:rsidRDefault="00C71180" w:rsidP="007718C7">
      <w:pPr>
        <w:jc w:val="both"/>
        <w:rPr>
          <w:sz w:val="26"/>
          <w:szCs w:val="26"/>
          <w:lang w:val="uk-UA"/>
        </w:rPr>
      </w:pPr>
      <w:r w:rsidRPr="006D087B">
        <w:rPr>
          <w:sz w:val="26"/>
          <w:szCs w:val="26"/>
          <w:lang w:val="uk-UA"/>
        </w:rPr>
        <w:t xml:space="preserve">     - </w:t>
      </w:r>
      <w:r w:rsidRPr="006D087B">
        <w:rPr>
          <w:b/>
          <w:sz w:val="26"/>
          <w:szCs w:val="26"/>
          <w:lang w:val="uk-UA"/>
        </w:rPr>
        <w:t>інші видатки</w:t>
      </w:r>
      <w:r w:rsidRPr="006D087B">
        <w:rPr>
          <w:sz w:val="26"/>
          <w:szCs w:val="26"/>
          <w:lang w:val="uk-UA"/>
        </w:rPr>
        <w:t xml:space="preserve"> –</w:t>
      </w:r>
      <w:r w:rsidR="006A0B71">
        <w:rPr>
          <w:sz w:val="26"/>
          <w:szCs w:val="26"/>
          <w:lang w:val="uk-UA"/>
        </w:rPr>
        <w:t>7 220</w:t>
      </w:r>
      <w:r w:rsidR="002025C9">
        <w:rPr>
          <w:sz w:val="26"/>
          <w:szCs w:val="26"/>
          <w:lang w:val="uk-UA"/>
        </w:rPr>
        <w:t>,</w:t>
      </w:r>
      <w:r w:rsidR="006A0B71">
        <w:rPr>
          <w:sz w:val="26"/>
          <w:szCs w:val="26"/>
          <w:lang w:val="uk-UA"/>
        </w:rPr>
        <w:t>5</w:t>
      </w:r>
      <w:r w:rsidR="002025C9">
        <w:rPr>
          <w:sz w:val="26"/>
          <w:szCs w:val="26"/>
          <w:lang w:val="uk-UA"/>
        </w:rPr>
        <w:t xml:space="preserve"> </w:t>
      </w:r>
      <w:r w:rsidR="002025C9" w:rsidRPr="006D087B">
        <w:rPr>
          <w:sz w:val="26"/>
          <w:szCs w:val="26"/>
          <w:lang w:val="uk-UA"/>
        </w:rPr>
        <w:t>(</w:t>
      </w:r>
      <w:r w:rsidR="00C80ADF">
        <w:rPr>
          <w:sz w:val="26"/>
          <w:szCs w:val="26"/>
          <w:lang w:val="uk-UA"/>
        </w:rPr>
        <w:t xml:space="preserve"> </w:t>
      </w:r>
      <w:r w:rsidR="006A0B71">
        <w:rPr>
          <w:sz w:val="26"/>
          <w:szCs w:val="26"/>
          <w:lang w:val="uk-UA"/>
        </w:rPr>
        <w:t>4,2</w:t>
      </w:r>
      <w:r w:rsidR="002025C9" w:rsidRPr="006D087B">
        <w:rPr>
          <w:sz w:val="26"/>
          <w:szCs w:val="26"/>
          <w:lang w:val="uk-UA"/>
        </w:rPr>
        <w:t xml:space="preserve"> % ) </w:t>
      </w:r>
      <w:r w:rsidRPr="006D087B">
        <w:rPr>
          <w:sz w:val="26"/>
          <w:szCs w:val="26"/>
          <w:lang w:val="uk-UA"/>
        </w:rPr>
        <w:t xml:space="preserve">тис. грн. </w:t>
      </w:r>
    </w:p>
    <w:p w:rsidR="007718C7" w:rsidRPr="0036133C" w:rsidRDefault="007718C7" w:rsidP="007718C7">
      <w:pPr>
        <w:jc w:val="both"/>
        <w:rPr>
          <w:lang w:val="uk-UA"/>
        </w:rPr>
      </w:pPr>
    </w:p>
    <w:p w:rsidR="00C71180" w:rsidRPr="00C62581" w:rsidRDefault="00C71180" w:rsidP="00C71180">
      <w:pPr>
        <w:jc w:val="both"/>
        <w:rPr>
          <w:sz w:val="26"/>
          <w:szCs w:val="26"/>
          <w:lang w:val="uk-UA"/>
        </w:rPr>
      </w:pPr>
      <w:r w:rsidRPr="0036133C">
        <w:rPr>
          <w:sz w:val="26"/>
          <w:szCs w:val="26"/>
          <w:lang w:val="uk-UA"/>
        </w:rPr>
        <w:t xml:space="preserve">     Основними напрямками використання бюджетних ресурсів є забезпечення асигнуваннями витрат на захищені статті, частка яких у видатковій частині загального фонду бюджету міста становить </w:t>
      </w:r>
      <w:r w:rsidR="00C80ADF">
        <w:rPr>
          <w:sz w:val="26"/>
          <w:szCs w:val="26"/>
          <w:lang w:val="uk-UA"/>
        </w:rPr>
        <w:t>71,</w:t>
      </w:r>
      <w:r w:rsidR="00400818">
        <w:rPr>
          <w:sz w:val="26"/>
          <w:szCs w:val="26"/>
          <w:lang w:val="uk-UA"/>
        </w:rPr>
        <w:t>2</w:t>
      </w:r>
      <w:r w:rsidR="00C80ADF">
        <w:rPr>
          <w:sz w:val="26"/>
          <w:szCs w:val="26"/>
          <w:lang w:val="uk-UA"/>
        </w:rPr>
        <w:t xml:space="preserve"> </w:t>
      </w:r>
      <w:r w:rsidR="0072503F">
        <w:rPr>
          <w:sz w:val="26"/>
          <w:szCs w:val="26"/>
          <w:lang w:val="uk-UA"/>
        </w:rPr>
        <w:t xml:space="preserve"> </w:t>
      </w:r>
      <w:r w:rsidRPr="00C62581">
        <w:rPr>
          <w:sz w:val="26"/>
          <w:szCs w:val="26"/>
          <w:lang w:val="uk-UA"/>
        </w:rPr>
        <w:t xml:space="preserve">відсотка, або </w:t>
      </w:r>
      <w:r w:rsidR="007800A1">
        <w:rPr>
          <w:sz w:val="26"/>
          <w:szCs w:val="26"/>
          <w:lang w:val="uk-UA"/>
        </w:rPr>
        <w:t xml:space="preserve">                                </w:t>
      </w:r>
      <w:r w:rsidR="00400818">
        <w:rPr>
          <w:sz w:val="26"/>
          <w:szCs w:val="26"/>
          <w:lang w:val="uk-UA"/>
        </w:rPr>
        <w:t>107 725</w:t>
      </w:r>
      <w:r w:rsidR="00C80ADF">
        <w:rPr>
          <w:sz w:val="26"/>
          <w:szCs w:val="26"/>
          <w:lang w:val="uk-UA"/>
        </w:rPr>
        <w:t>,</w:t>
      </w:r>
      <w:r w:rsidR="00400818">
        <w:rPr>
          <w:sz w:val="26"/>
          <w:szCs w:val="26"/>
          <w:lang w:val="uk-UA"/>
        </w:rPr>
        <w:t>8</w:t>
      </w:r>
      <w:r w:rsidR="004F276F">
        <w:rPr>
          <w:sz w:val="26"/>
          <w:szCs w:val="26"/>
          <w:lang w:val="uk-UA"/>
        </w:rPr>
        <w:t xml:space="preserve"> </w:t>
      </w:r>
      <w:r w:rsidR="00400818">
        <w:rPr>
          <w:sz w:val="26"/>
          <w:szCs w:val="26"/>
          <w:lang w:val="uk-UA"/>
        </w:rPr>
        <w:t xml:space="preserve">  </w:t>
      </w:r>
      <w:r w:rsidRPr="00C62581">
        <w:rPr>
          <w:sz w:val="26"/>
          <w:szCs w:val="26"/>
          <w:lang w:val="uk-UA"/>
        </w:rPr>
        <w:t xml:space="preserve">тис. гривень із  </w:t>
      </w:r>
      <w:r w:rsidR="00682377">
        <w:rPr>
          <w:sz w:val="26"/>
          <w:szCs w:val="26"/>
          <w:lang w:val="uk-UA"/>
        </w:rPr>
        <w:t>151</w:t>
      </w:r>
      <w:r w:rsidR="009663B8">
        <w:rPr>
          <w:sz w:val="26"/>
          <w:szCs w:val="26"/>
          <w:lang w:val="uk-UA"/>
        </w:rPr>
        <w:t xml:space="preserve"> </w:t>
      </w:r>
      <w:r w:rsidR="00682377">
        <w:rPr>
          <w:sz w:val="26"/>
          <w:szCs w:val="26"/>
          <w:lang w:val="uk-UA"/>
        </w:rPr>
        <w:t>405</w:t>
      </w:r>
      <w:r w:rsidR="009663B8">
        <w:rPr>
          <w:sz w:val="26"/>
          <w:szCs w:val="26"/>
          <w:lang w:val="uk-UA"/>
        </w:rPr>
        <w:t>,</w:t>
      </w:r>
      <w:r w:rsidR="00682377">
        <w:rPr>
          <w:sz w:val="26"/>
          <w:szCs w:val="26"/>
          <w:lang w:val="uk-UA"/>
        </w:rPr>
        <w:t>3</w:t>
      </w:r>
      <w:r w:rsidR="009663B8">
        <w:rPr>
          <w:sz w:val="26"/>
          <w:szCs w:val="26"/>
          <w:lang w:val="uk-UA"/>
        </w:rPr>
        <w:t xml:space="preserve"> </w:t>
      </w:r>
      <w:r w:rsidR="004F276F">
        <w:rPr>
          <w:sz w:val="26"/>
          <w:szCs w:val="26"/>
          <w:lang w:val="uk-UA"/>
        </w:rPr>
        <w:t xml:space="preserve"> </w:t>
      </w:r>
      <w:r w:rsidRPr="00C62581">
        <w:rPr>
          <w:sz w:val="26"/>
          <w:szCs w:val="26"/>
          <w:lang w:val="uk-UA"/>
        </w:rPr>
        <w:t>тис. гривень.</w:t>
      </w:r>
    </w:p>
    <w:p w:rsidR="00C71180" w:rsidRPr="00142D82" w:rsidRDefault="00C71180" w:rsidP="008F7023">
      <w:pPr>
        <w:jc w:val="both"/>
        <w:rPr>
          <w:b/>
          <w:highlight w:val="yellow"/>
          <w:lang w:val="uk-UA"/>
        </w:rPr>
      </w:pPr>
    </w:p>
    <w:p w:rsidR="00E5083B" w:rsidRDefault="00E5083B" w:rsidP="00C71180">
      <w:pPr>
        <w:jc w:val="both"/>
        <w:rPr>
          <w:b/>
          <w:sz w:val="26"/>
          <w:szCs w:val="26"/>
          <w:lang w:val="uk-UA"/>
        </w:rPr>
      </w:pPr>
      <w:r w:rsidRPr="00E5083B">
        <w:rPr>
          <w:b/>
          <w:noProof/>
          <w:sz w:val="26"/>
          <w:szCs w:val="26"/>
        </w:rPr>
        <w:lastRenderedPageBreak/>
        <w:drawing>
          <wp:inline distT="0" distB="0" distL="0" distR="0">
            <wp:extent cx="5940425" cy="4914900"/>
            <wp:effectExtent l="19050" t="0" r="22225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083B" w:rsidRDefault="00E5083B" w:rsidP="00C71180">
      <w:pPr>
        <w:jc w:val="both"/>
        <w:rPr>
          <w:b/>
          <w:sz w:val="26"/>
          <w:szCs w:val="26"/>
          <w:lang w:val="uk-UA"/>
        </w:rPr>
      </w:pPr>
    </w:p>
    <w:p w:rsidR="00C71180" w:rsidRPr="00C62581" w:rsidRDefault="00C71180" w:rsidP="00C71180">
      <w:pPr>
        <w:jc w:val="both"/>
        <w:rPr>
          <w:sz w:val="26"/>
          <w:szCs w:val="26"/>
          <w:lang w:val="uk-UA"/>
        </w:rPr>
      </w:pPr>
      <w:r w:rsidRPr="00C62581">
        <w:rPr>
          <w:b/>
          <w:sz w:val="26"/>
          <w:szCs w:val="26"/>
          <w:lang w:val="uk-UA"/>
        </w:rPr>
        <w:t xml:space="preserve">     На соціальний захист та соціальне забезпечення (без соціальних субвенцій з державного бюджету) спрямовано </w:t>
      </w:r>
      <w:r w:rsidR="00E438D0">
        <w:rPr>
          <w:b/>
          <w:sz w:val="26"/>
          <w:szCs w:val="26"/>
          <w:lang w:val="uk-UA"/>
        </w:rPr>
        <w:t>17 939</w:t>
      </w:r>
      <w:r w:rsidR="009663B8">
        <w:rPr>
          <w:b/>
          <w:sz w:val="26"/>
          <w:szCs w:val="26"/>
          <w:lang w:val="uk-UA"/>
        </w:rPr>
        <w:t>,</w:t>
      </w:r>
      <w:r w:rsidR="00E438D0">
        <w:rPr>
          <w:b/>
          <w:sz w:val="26"/>
          <w:szCs w:val="26"/>
          <w:lang w:val="uk-UA"/>
        </w:rPr>
        <w:t>5</w:t>
      </w:r>
      <w:r w:rsidR="004F276F">
        <w:rPr>
          <w:b/>
          <w:sz w:val="26"/>
          <w:szCs w:val="26"/>
          <w:lang w:val="uk-UA"/>
        </w:rPr>
        <w:t xml:space="preserve"> т</w:t>
      </w:r>
      <w:r w:rsidRPr="00C62581">
        <w:rPr>
          <w:b/>
          <w:sz w:val="26"/>
          <w:szCs w:val="26"/>
          <w:lang w:val="uk-UA"/>
        </w:rPr>
        <w:t xml:space="preserve">ис. грн., що на </w:t>
      </w:r>
      <w:r w:rsidR="00B97FCC">
        <w:rPr>
          <w:b/>
          <w:sz w:val="26"/>
          <w:szCs w:val="26"/>
          <w:lang w:val="uk-UA"/>
        </w:rPr>
        <w:t xml:space="preserve">9 </w:t>
      </w:r>
      <w:r w:rsidR="00E5546A">
        <w:rPr>
          <w:b/>
          <w:sz w:val="26"/>
          <w:szCs w:val="26"/>
          <w:lang w:val="uk-UA"/>
        </w:rPr>
        <w:t>379</w:t>
      </w:r>
      <w:r w:rsidR="00B97FCC">
        <w:rPr>
          <w:b/>
          <w:sz w:val="26"/>
          <w:szCs w:val="26"/>
          <w:lang w:val="uk-UA"/>
        </w:rPr>
        <w:t>,</w:t>
      </w:r>
      <w:r w:rsidR="00E5546A">
        <w:rPr>
          <w:b/>
          <w:sz w:val="26"/>
          <w:szCs w:val="26"/>
          <w:lang w:val="uk-UA"/>
        </w:rPr>
        <w:t>9</w:t>
      </w:r>
      <w:r w:rsidR="007557F0">
        <w:rPr>
          <w:b/>
          <w:sz w:val="26"/>
          <w:szCs w:val="26"/>
          <w:lang w:val="uk-UA"/>
        </w:rPr>
        <w:t xml:space="preserve"> </w:t>
      </w:r>
      <w:proofErr w:type="spellStart"/>
      <w:r w:rsidRPr="00C62581">
        <w:rPr>
          <w:b/>
          <w:sz w:val="26"/>
          <w:szCs w:val="26"/>
          <w:lang w:val="uk-UA"/>
        </w:rPr>
        <w:t>тис.грн</w:t>
      </w:r>
      <w:proofErr w:type="spellEnd"/>
      <w:r w:rsidRPr="00C62581">
        <w:rPr>
          <w:b/>
          <w:sz w:val="26"/>
          <w:szCs w:val="26"/>
          <w:lang w:val="uk-UA"/>
        </w:rPr>
        <w:t>. більше проведених видатків за аналогічний період минулого року.</w:t>
      </w:r>
    </w:p>
    <w:p w:rsidR="00C71180" w:rsidRPr="00E0328A" w:rsidRDefault="00C71180" w:rsidP="00C71180">
      <w:pPr>
        <w:jc w:val="center"/>
        <w:rPr>
          <w:sz w:val="26"/>
          <w:szCs w:val="26"/>
          <w:lang w:val="uk-UA"/>
        </w:rPr>
      </w:pPr>
    </w:p>
    <w:p w:rsidR="00F36B6D" w:rsidRDefault="00F36B6D" w:rsidP="00C71180">
      <w:pPr>
        <w:jc w:val="center"/>
        <w:rPr>
          <w:sz w:val="26"/>
          <w:szCs w:val="26"/>
          <w:lang w:val="uk-UA"/>
        </w:rPr>
      </w:pPr>
    </w:p>
    <w:p w:rsidR="00C71180" w:rsidRPr="00E0328A" w:rsidRDefault="00C71180" w:rsidP="00C71180">
      <w:pPr>
        <w:jc w:val="center"/>
        <w:rPr>
          <w:sz w:val="26"/>
          <w:szCs w:val="26"/>
          <w:lang w:val="uk-UA"/>
        </w:rPr>
      </w:pPr>
      <w:r w:rsidRPr="00E0328A">
        <w:rPr>
          <w:sz w:val="26"/>
          <w:szCs w:val="26"/>
          <w:lang w:val="uk-UA"/>
        </w:rPr>
        <w:t>Зокрема, виділені кошти використані  за наступними напрямками:</w:t>
      </w: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Default="00C71180" w:rsidP="00C71180">
      <w:pPr>
        <w:jc w:val="both"/>
        <w:rPr>
          <w:sz w:val="26"/>
          <w:szCs w:val="26"/>
          <w:lang w:val="uk-UA"/>
        </w:rPr>
      </w:pPr>
      <w:r w:rsidRPr="0011756B">
        <w:rPr>
          <w:sz w:val="26"/>
          <w:szCs w:val="26"/>
          <w:lang w:val="uk-UA"/>
        </w:rPr>
        <w:t xml:space="preserve">- безкоштовне харчування дітей з малозабезпечених сімей та  учнів 1-4 класів -                        </w:t>
      </w:r>
      <w:r w:rsidR="00C92BA2">
        <w:rPr>
          <w:sz w:val="26"/>
          <w:szCs w:val="26"/>
          <w:lang w:val="uk-UA"/>
        </w:rPr>
        <w:t>2 046</w:t>
      </w:r>
      <w:r w:rsidR="00B97FCC">
        <w:rPr>
          <w:sz w:val="26"/>
          <w:szCs w:val="26"/>
          <w:lang w:val="uk-UA"/>
        </w:rPr>
        <w:t>,</w:t>
      </w:r>
      <w:r w:rsidR="00C92BA2">
        <w:rPr>
          <w:sz w:val="26"/>
          <w:szCs w:val="26"/>
          <w:lang w:val="uk-UA"/>
        </w:rPr>
        <w:t>2</w:t>
      </w:r>
      <w:r w:rsidR="00B97FCC">
        <w:rPr>
          <w:sz w:val="26"/>
          <w:szCs w:val="26"/>
          <w:lang w:val="uk-UA"/>
        </w:rPr>
        <w:t xml:space="preserve"> </w:t>
      </w:r>
      <w:r w:rsidRPr="0011756B">
        <w:rPr>
          <w:sz w:val="26"/>
          <w:szCs w:val="26"/>
          <w:lang w:val="uk-UA"/>
        </w:rPr>
        <w:t>тис. грн.;</w:t>
      </w:r>
    </w:p>
    <w:p w:rsidR="00C92BA2" w:rsidRPr="0011756B" w:rsidRDefault="00C92BA2" w:rsidP="00C71180">
      <w:pPr>
        <w:jc w:val="both"/>
        <w:rPr>
          <w:sz w:val="26"/>
          <w:szCs w:val="26"/>
          <w:lang w:val="uk-UA"/>
        </w:rPr>
      </w:pPr>
    </w:p>
    <w:p w:rsidR="00C92BA2" w:rsidRPr="0011756B" w:rsidRDefault="00C92BA2" w:rsidP="00C92BA2">
      <w:pPr>
        <w:jc w:val="both"/>
        <w:rPr>
          <w:sz w:val="26"/>
          <w:szCs w:val="26"/>
          <w:lang w:val="uk-UA"/>
        </w:rPr>
      </w:pPr>
      <w:r w:rsidRPr="0011756B">
        <w:rPr>
          <w:sz w:val="26"/>
          <w:szCs w:val="26"/>
          <w:lang w:val="uk-UA"/>
        </w:rPr>
        <w:t xml:space="preserve">- безкоштовне харчування дітей з малозабезпечених сімей та  учнів </w:t>
      </w:r>
      <w:r>
        <w:rPr>
          <w:sz w:val="26"/>
          <w:szCs w:val="26"/>
          <w:lang w:val="uk-UA"/>
        </w:rPr>
        <w:t>5</w:t>
      </w:r>
      <w:r w:rsidRPr="0011756B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>11</w:t>
      </w:r>
      <w:r w:rsidRPr="0011756B">
        <w:rPr>
          <w:sz w:val="26"/>
          <w:szCs w:val="26"/>
          <w:lang w:val="uk-UA"/>
        </w:rPr>
        <w:t xml:space="preserve"> класів -                        </w:t>
      </w:r>
      <w:r>
        <w:rPr>
          <w:sz w:val="26"/>
          <w:szCs w:val="26"/>
          <w:lang w:val="uk-UA"/>
        </w:rPr>
        <w:t xml:space="preserve">124,3 </w:t>
      </w:r>
      <w:r w:rsidRPr="0011756B">
        <w:rPr>
          <w:sz w:val="26"/>
          <w:szCs w:val="26"/>
          <w:lang w:val="uk-UA"/>
        </w:rPr>
        <w:t>тис. грн.;</w:t>
      </w:r>
    </w:p>
    <w:p w:rsidR="00C71180" w:rsidRPr="0011756B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11756B" w:rsidRDefault="00C71180" w:rsidP="00C71180">
      <w:pPr>
        <w:jc w:val="both"/>
        <w:rPr>
          <w:sz w:val="26"/>
          <w:szCs w:val="26"/>
          <w:lang w:val="uk-UA"/>
        </w:rPr>
      </w:pPr>
      <w:r w:rsidRPr="0011756B">
        <w:rPr>
          <w:sz w:val="26"/>
          <w:szCs w:val="26"/>
          <w:lang w:val="uk-UA"/>
        </w:rPr>
        <w:t xml:space="preserve">- фруктові вітамінізіровані сніданки (яблуко) для учнів 1-4 класів - </w:t>
      </w:r>
      <w:r w:rsidR="00227F37">
        <w:rPr>
          <w:sz w:val="26"/>
          <w:szCs w:val="26"/>
          <w:lang w:val="uk-UA"/>
        </w:rPr>
        <w:t>320</w:t>
      </w:r>
      <w:r w:rsidR="00B97FCC">
        <w:rPr>
          <w:sz w:val="26"/>
          <w:szCs w:val="26"/>
          <w:lang w:val="uk-UA"/>
        </w:rPr>
        <w:t>,</w:t>
      </w:r>
      <w:r w:rsidR="00227F37">
        <w:rPr>
          <w:sz w:val="26"/>
          <w:szCs w:val="26"/>
          <w:lang w:val="uk-UA"/>
        </w:rPr>
        <w:t>4</w:t>
      </w:r>
      <w:r w:rsidR="00B97FCC">
        <w:rPr>
          <w:sz w:val="26"/>
          <w:szCs w:val="26"/>
          <w:lang w:val="uk-UA"/>
        </w:rPr>
        <w:t xml:space="preserve"> </w:t>
      </w:r>
      <w:r w:rsidRPr="0011756B">
        <w:rPr>
          <w:sz w:val="26"/>
          <w:szCs w:val="26"/>
          <w:lang w:val="uk-UA"/>
        </w:rPr>
        <w:t>тис. грн.;</w:t>
      </w: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  <w:r w:rsidRPr="00142D82">
        <w:rPr>
          <w:sz w:val="26"/>
          <w:szCs w:val="26"/>
          <w:highlight w:val="yellow"/>
          <w:lang w:val="uk-UA"/>
        </w:rPr>
        <w:t xml:space="preserve">   </w:t>
      </w:r>
    </w:p>
    <w:p w:rsidR="00C71180" w:rsidRPr="0067222B" w:rsidRDefault="00C71180" w:rsidP="00C71180">
      <w:pPr>
        <w:jc w:val="both"/>
        <w:rPr>
          <w:sz w:val="26"/>
          <w:szCs w:val="26"/>
          <w:lang w:val="uk-UA"/>
        </w:rPr>
      </w:pPr>
      <w:r w:rsidRPr="0067222B">
        <w:rPr>
          <w:sz w:val="26"/>
          <w:szCs w:val="26"/>
          <w:lang w:val="uk-UA"/>
        </w:rPr>
        <w:t xml:space="preserve">- надання щомісячної адресної матеріальної допомоги ветеранам педагогічної </w:t>
      </w:r>
      <w:r w:rsidR="00C5606D">
        <w:rPr>
          <w:sz w:val="26"/>
          <w:szCs w:val="26"/>
          <w:lang w:val="uk-UA"/>
        </w:rPr>
        <w:t xml:space="preserve">та медичної </w:t>
      </w:r>
      <w:r w:rsidRPr="0067222B">
        <w:rPr>
          <w:sz w:val="26"/>
          <w:szCs w:val="26"/>
          <w:lang w:val="uk-UA"/>
        </w:rPr>
        <w:t xml:space="preserve"> праці  - </w:t>
      </w:r>
      <w:r w:rsidR="00227F37">
        <w:rPr>
          <w:sz w:val="26"/>
          <w:szCs w:val="26"/>
          <w:lang w:val="uk-UA"/>
        </w:rPr>
        <w:t xml:space="preserve">149,4 </w:t>
      </w:r>
      <w:r w:rsidRPr="0067222B">
        <w:rPr>
          <w:sz w:val="26"/>
          <w:szCs w:val="26"/>
          <w:lang w:val="uk-UA"/>
        </w:rPr>
        <w:t>тис. грн.;</w:t>
      </w: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632CCE" w:rsidRDefault="00C71180" w:rsidP="00632CCE">
      <w:pPr>
        <w:jc w:val="both"/>
        <w:rPr>
          <w:lang w:val="uk-UA"/>
        </w:rPr>
      </w:pPr>
      <w:r w:rsidRPr="00B3410D">
        <w:rPr>
          <w:sz w:val="26"/>
          <w:szCs w:val="26"/>
          <w:lang w:val="uk-UA"/>
        </w:rPr>
        <w:t xml:space="preserve">- виплата грошової компенсації фізичним особам, які надають соціальні послуги громадянам похилого віку, інвалідам, хворим, які нездатні до самообслуговування і потребують сторонньої допомоги - </w:t>
      </w:r>
      <w:r w:rsidR="00227F37">
        <w:rPr>
          <w:sz w:val="26"/>
          <w:szCs w:val="26"/>
          <w:lang w:val="uk-UA"/>
        </w:rPr>
        <w:t>113</w:t>
      </w:r>
      <w:r w:rsidR="00351666">
        <w:rPr>
          <w:sz w:val="26"/>
          <w:szCs w:val="26"/>
          <w:lang w:val="uk-UA"/>
        </w:rPr>
        <w:t xml:space="preserve">,7 </w:t>
      </w:r>
      <w:r w:rsidRPr="00B3410D">
        <w:rPr>
          <w:sz w:val="26"/>
          <w:szCs w:val="26"/>
          <w:lang w:val="uk-UA"/>
        </w:rPr>
        <w:t>тис. грн.;</w:t>
      </w:r>
      <w:r w:rsidR="00632CCE" w:rsidRPr="00632CCE">
        <w:rPr>
          <w:lang w:val="uk-UA"/>
        </w:rPr>
        <w:t xml:space="preserve"> </w:t>
      </w:r>
    </w:p>
    <w:p w:rsidR="00632CCE" w:rsidRDefault="00632CCE" w:rsidP="00632CCE">
      <w:pPr>
        <w:jc w:val="both"/>
        <w:rPr>
          <w:lang w:val="uk-UA"/>
        </w:rPr>
      </w:pPr>
    </w:p>
    <w:p w:rsidR="00632CCE" w:rsidRPr="006B1BAA" w:rsidRDefault="00632CCE" w:rsidP="00632CCE">
      <w:pPr>
        <w:jc w:val="both"/>
        <w:rPr>
          <w:sz w:val="26"/>
          <w:szCs w:val="26"/>
          <w:lang w:val="uk-UA"/>
        </w:rPr>
      </w:pPr>
      <w:r w:rsidRPr="006B1BAA">
        <w:rPr>
          <w:sz w:val="26"/>
          <w:szCs w:val="26"/>
          <w:lang w:val="uk-UA"/>
        </w:rPr>
        <w:t>- надання одноразової допомоги учасникам бойових дій в Афганістані</w:t>
      </w:r>
      <w:r w:rsidR="002475A3">
        <w:rPr>
          <w:sz w:val="26"/>
          <w:szCs w:val="26"/>
          <w:lang w:val="uk-UA"/>
        </w:rPr>
        <w:t xml:space="preserve"> та на територі</w:t>
      </w:r>
      <w:r w:rsidR="00AB6974">
        <w:rPr>
          <w:sz w:val="26"/>
          <w:szCs w:val="26"/>
          <w:lang w:val="uk-UA"/>
        </w:rPr>
        <w:t>ї</w:t>
      </w:r>
      <w:r w:rsidR="002475A3">
        <w:rPr>
          <w:sz w:val="26"/>
          <w:szCs w:val="26"/>
          <w:lang w:val="uk-UA"/>
        </w:rPr>
        <w:t xml:space="preserve"> інших держав</w:t>
      </w:r>
      <w:r w:rsidRPr="006B1BAA">
        <w:rPr>
          <w:sz w:val="26"/>
          <w:szCs w:val="26"/>
          <w:lang w:val="uk-UA"/>
        </w:rPr>
        <w:t xml:space="preserve">  -  </w:t>
      </w:r>
      <w:r w:rsidR="002475A3">
        <w:rPr>
          <w:sz w:val="26"/>
          <w:szCs w:val="26"/>
          <w:lang w:val="uk-UA"/>
        </w:rPr>
        <w:t xml:space="preserve">256,8 </w:t>
      </w:r>
      <w:r w:rsidRPr="006B1BAA">
        <w:rPr>
          <w:sz w:val="26"/>
          <w:szCs w:val="26"/>
          <w:lang w:val="uk-UA"/>
        </w:rPr>
        <w:t>тис. грн.;</w:t>
      </w:r>
    </w:p>
    <w:p w:rsidR="00C71180" w:rsidRPr="006B1BAA" w:rsidRDefault="00C71180" w:rsidP="00C71180">
      <w:pPr>
        <w:jc w:val="both"/>
        <w:rPr>
          <w:sz w:val="26"/>
          <w:szCs w:val="26"/>
          <w:lang w:val="uk-UA"/>
        </w:rPr>
      </w:pPr>
    </w:p>
    <w:p w:rsidR="00C71180" w:rsidRPr="00A21EA6" w:rsidRDefault="00C71180" w:rsidP="00C71180">
      <w:pPr>
        <w:jc w:val="both"/>
        <w:rPr>
          <w:sz w:val="26"/>
          <w:szCs w:val="26"/>
          <w:lang w:val="uk-UA"/>
        </w:rPr>
      </w:pPr>
      <w:r w:rsidRPr="00A21EA6">
        <w:rPr>
          <w:sz w:val="26"/>
          <w:szCs w:val="26"/>
          <w:lang w:val="uk-UA"/>
        </w:rPr>
        <w:lastRenderedPageBreak/>
        <w:t xml:space="preserve">- надання пільг за житлово-комунальні послуги інвалідам по зору та Почесним громадянам міста - </w:t>
      </w:r>
      <w:r w:rsidR="006B38AF">
        <w:rPr>
          <w:sz w:val="26"/>
          <w:szCs w:val="26"/>
          <w:lang w:val="uk-UA"/>
        </w:rPr>
        <w:t>260</w:t>
      </w:r>
      <w:r w:rsidR="00351666">
        <w:rPr>
          <w:sz w:val="26"/>
          <w:szCs w:val="26"/>
          <w:lang w:val="uk-UA"/>
        </w:rPr>
        <w:t>,</w:t>
      </w:r>
      <w:r w:rsidR="006B38AF">
        <w:rPr>
          <w:sz w:val="26"/>
          <w:szCs w:val="26"/>
          <w:lang w:val="uk-UA"/>
        </w:rPr>
        <w:t>7</w:t>
      </w:r>
      <w:r w:rsidR="00351666">
        <w:rPr>
          <w:sz w:val="26"/>
          <w:szCs w:val="26"/>
          <w:lang w:val="uk-UA"/>
        </w:rPr>
        <w:t xml:space="preserve"> </w:t>
      </w:r>
      <w:r w:rsidRPr="00A21EA6">
        <w:rPr>
          <w:sz w:val="26"/>
          <w:szCs w:val="26"/>
          <w:lang w:val="uk-UA"/>
        </w:rPr>
        <w:t>тис. грн.;</w:t>
      </w: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A21EA6" w:rsidRDefault="00C71180" w:rsidP="00C71180">
      <w:pPr>
        <w:jc w:val="both"/>
        <w:rPr>
          <w:sz w:val="26"/>
          <w:szCs w:val="26"/>
          <w:lang w:val="uk-UA"/>
        </w:rPr>
      </w:pPr>
      <w:r w:rsidRPr="00A21EA6">
        <w:rPr>
          <w:sz w:val="26"/>
          <w:szCs w:val="26"/>
          <w:lang w:val="uk-UA"/>
        </w:rPr>
        <w:t xml:space="preserve">- надання малозабезпеченим верствам населення міста адресної допомоги, адресної соціальної доплати, додаткових соціальних гарантій  з утримання будинків та прибудинкових територій - </w:t>
      </w:r>
      <w:r w:rsidR="00351666">
        <w:rPr>
          <w:sz w:val="26"/>
          <w:szCs w:val="26"/>
          <w:lang w:val="uk-UA"/>
        </w:rPr>
        <w:t>1</w:t>
      </w:r>
      <w:r w:rsidR="002E6555">
        <w:rPr>
          <w:sz w:val="26"/>
          <w:szCs w:val="26"/>
          <w:lang w:val="uk-UA"/>
        </w:rPr>
        <w:t>1 369</w:t>
      </w:r>
      <w:r w:rsidR="00351666">
        <w:rPr>
          <w:sz w:val="26"/>
          <w:szCs w:val="26"/>
          <w:lang w:val="uk-UA"/>
        </w:rPr>
        <w:t>,</w:t>
      </w:r>
      <w:r w:rsidR="002E6555">
        <w:rPr>
          <w:sz w:val="26"/>
          <w:szCs w:val="26"/>
          <w:lang w:val="uk-UA"/>
        </w:rPr>
        <w:t>5</w:t>
      </w:r>
      <w:r w:rsidR="00351666">
        <w:rPr>
          <w:sz w:val="26"/>
          <w:szCs w:val="26"/>
          <w:lang w:val="uk-UA"/>
        </w:rPr>
        <w:t xml:space="preserve"> </w:t>
      </w:r>
      <w:r w:rsidRPr="00A21EA6">
        <w:rPr>
          <w:sz w:val="26"/>
          <w:szCs w:val="26"/>
          <w:lang w:val="uk-UA"/>
        </w:rPr>
        <w:t xml:space="preserve">тис. грн.; </w:t>
      </w: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</w:p>
    <w:p w:rsidR="00C71180" w:rsidRPr="00CB6027" w:rsidRDefault="00C71180" w:rsidP="00C71180">
      <w:pPr>
        <w:jc w:val="both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 xml:space="preserve">- надання  матеріальної  допомоги  громадянам міста за їх заявами, які опинились у скрутному фінансовому становищі - </w:t>
      </w:r>
      <w:r w:rsidR="008E5C2B">
        <w:rPr>
          <w:sz w:val="26"/>
          <w:szCs w:val="26"/>
          <w:lang w:val="uk-UA"/>
        </w:rPr>
        <w:t>1 506</w:t>
      </w:r>
      <w:r w:rsidR="00E8686C">
        <w:rPr>
          <w:sz w:val="26"/>
          <w:szCs w:val="26"/>
          <w:lang w:val="uk-UA"/>
        </w:rPr>
        <w:t>,2</w:t>
      </w:r>
      <w:r w:rsidR="00F3530B">
        <w:rPr>
          <w:sz w:val="26"/>
          <w:szCs w:val="26"/>
          <w:lang w:val="uk-UA"/>
        </w:rPr>
        <w:t xml:space="preserve"> </w:t>
      </w:r>
      <w:r w:rsidRPr="00CB6027">
        <w:rPr>
          <w:sz w:val="26"/>
          <w:szCs w:val="26"/>
          <w:lang w:val="uk-UA"/>
        </w:rPr>
        <w:t xml:space="preserve">тис. грн.  (отримали таку допомогу                  </w:t>
      </w:r>
      <w:r w:rsidR="008E5C2B">
        <w:rPr>
          <w:sz w:val="26"/>
          <w:szCs w:val="26"/>
          <w:lang w:val="uk-UA"/>
        </w:rPr>
        <w:t>591</w:t>
      </w:r>
      <w:r w:rsidR="00795B50">
        <w:rPr>
          <w:sz w:val="26"/>
          <w:szCs w:val="26"/>
          <w:lang w:val="uk-UA"/>
        </w:rPr>
        <w:t xml:space="preserve"> </w:t>
      </w:r>
      <w:r w:rsidRPr="00CB6027">
        <w:rPr>
          <w:sz w:val="26"/>
          <w:szCs w:val="26"/>
          <w:lang w:val="uk-UA"/>
        </w:rPr>
        <w:t>особи).</w:t>
      </w:r>
    </w:p>
    <w:p w:rsidR="00C71180" w:rsidRPr="00142D82" w:rsidRDefault="00C71180" w:rsidP="00C71180">
      <w:pPr>
        <w:jc w:val="both"/>
        <w:rPr>
          <w:sz w:val="26"/>
          <w:szCs w:val="26"/>
          <w:highlight w:val="yellow"/>
          <w:lang w:val="uk-UA"/>
        </w:rPr>
      </w:pPr>
      <w:r w:rsidRPr="00142D82">
        <w:rPr>
          <w:sz w:val="26"/>
          <w:szCs w:val="26"/>
          <w:highlight w:val="yellow"/>
          <w:lang w:val="uk-UA"/>
        </w:rPr>
        <w:t xml:space="preserve"> </w:t>
      </w:r>
    </w:p>
    <w:p w:rsidR="00542BC4" w:rsidRPr="00C62581" w:rsidRDefault="00542BC4" w:rsidP="00542BC4">
      <w:pPr>
        <w:jc w:val="both"/>
        <w:rPr>
          <w:sz w:val="26"/>
          <w:szCs w:val="26"/>
          <w:lang w:val="uk-UA"/>
        </w:rPr>
      </w:pPr>
      <w:r w:rsidRPr="00C62581">
        <w:rPr>
          <w:sz w:val="26"/>
          <w:szCs w:val="26"/>
          <w:lang w:val="uk-UA"/>
        </w:rPr>
        <w:t xml:space="preserve">      </w:t>
      </w:r>
      <w:r w:rsidRPr="00C62581">
        <w:rPr>
          <w:b/>
          <w:sz w:val="26"/>
          <w:szCs w:val="26"/>
          <w:lang w:val="uk-UA"/>
        </w:rPr>
        <w:t>Видатки спеціального фонду міського бюджету склали</w:t>
      </w:r>
      <w:r w:rsidR="006E2089">
        <w:rPr>
          <w:b/>
          <w:sz w:val="26"/>
          <w:szCs w:val="26"/>
          <w:lang w:val="uk-UA"/>
        </w:rPr>
        <w:t xml:space="preserve"> </w:t>
      </w:r>
      <w:r w:rsidRPr="00C62581">
        <w:rPr>
          <w:b/>
          <w:sz w:val="26"/>
          <w:szCs w:val="26"/>
          <w:lang w:val="uk-UA"/>
        </w:rPr>
        <w:t xml:space="preserve"> </w:t>
      </w:r>
      <w:r w:rsidR="00FA6193">
        <w:rPr>
          <w:b/>
          <w:sz w:val="26"/>
          <w:szCs w:val="26"/>
          <w:lang w:val="uk-UA"/>
        </w:rPr>
        <w:t>20 620</w:t>
      </w:r>
      <w:r>
        <w:rPr>
          <w:b/>
          <w:sz w:val="26"/>
          <w:szCs w:val="26"/>
          <w:lang w:val="uk-UA"/>
        </w:rPr>
        <w:t>,</w:t>
      </w:r>
      <w:r w:rsidR="00FA6193">
        <w:rPr>
          <w:b/>
          <w:sz w:val="26"/>
          <w:szCs w:val="26"/>
          <w:lang w:val="uk-UA"/>
        </w:rPr>
        <w:t>0</w:t>
      </w:r>
      <w:r>
        <w:rPr>
          <w:b/>
          <w:sz w:val="26"/>
          <w:szCs w:val="26"/>
          <w:lang w:val="uk-UA"/>
        </w:rPr>
        <w:t xml:space="preserve"> </w:t>
      </w:r>
      <w:r w:rsidRPr="00C62581">
        <w:rPr>
          <w:b/>
          <w:sz w:val="26"/>
          <w:szCs w:val="26"/>
          <w:lang w:val="uk-UA"/>
        </w:rPr>
        <w:t>тис. грн</w:t>
      </w:r>
      <w:r w:rsidRPr="00C62581">
        <w:rPr>
          <w:sz w:val="26"/>
          <w:szCs w:val="26"/>
          <w:lang w:val="uk-UA"/>
        </w:rPr>
        <w:t xml:space="preserve">., із яких </w:t>
      </w:r>
      <w:r w:rsidRPr="00E17264">
        <w:rPr>
          <w:b/>
          <w:sz w:val="26"/>
          <w:szCs w:val="26"/>
          <w:lang w:val="uk-UA"/>
        </w:rPr>
        <w:t xml:space="preserve">видатки бюджету  розвитку проведені в обсязі  </w:t>
      </w:r>
      <w:r w:rsidR="00FA6193">
        <w:rPr>
          <w:b/>
          <w:sz w:val="26"/>
          <w:szCs w:val="26"/>
          <w:lang w:val="uk-UA"/>
        </w:rPr>
        <w:t>16 721</w:t>
      </w:r>
      <w:r>
        <w:rPr>
          <w:b/>
          <w:sz w:val="26"/>
          <w:szCs w:val="26"/>
          <w:lang w:val="uk-UA"/>
        </w:rPr>
        <w:t>,</w:t>
      </w:r>
      <w:r w:rsidR="00FA6193">
        <w:rPr>
          <w:b/>
          <w:sz w:val="26"/>
          <w:szCs w:val="26"/>
          <w:lang w:val="uk-UA"/>
        </w:rPr>
        <w:t>4</w:t>
      </w:r>
      <w:r>
        <w:rPr>
          <w:b/>
          <w:sz w:val="26"/>
          <w:szCs w:val="26"/>
          <w:lang w:val="uk-UA"/>
        </w:rPr>
        <w:t xml:space="preserve"> </w:t>
      </w:r>
      <w:r w:rsidRPr="00E17264">
        <w:rPr>
          <w:b/>
          <w:sz w:val="26"/>
          <w:szCs w:val="26"/>
          <w:lang w:val="uk-UA"/>
        </w:rPr>
        <w:t>тис. грн</w:t>
      </w:r>
      <w:r w:rsidRPr="00C62581">
        <w:rPr>
          <w:sz w:val="26"/>
          <w:szCs w:val="26"/>
          <w:lang w:val="uk-UA"/>
        </w:rPr>
        <w:t xml:space="preserve">., або </w:t>
      </w:r>
    </w:p>
    <w:p w:rsidR="00542BC4" w:rsidRPr="00C62581" w:rsidRDefault="00846B8C" w:rsidP="00542BC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77,3 </w:t>
      </w:r>
      <w:r w:rsidR="00542BC4" w:rsidRPr="00C62581">
        <w:rPr>
          <w:sz w:val="26"/>
          <w:szCs w:val="26"/>
          <w:lang w:val="uk-UA"/>
        </w:rPr>
        <w:t xml:space="preserve">% видатків спеціального фонду. </w:t>
      </w:r>
    </w:p>
    <w:p w:rsidR="00542BC4" w:rsidRPr="00142D82" w:rsidRDefault="00542BC4" w:rsidP="00542BC4">
      <w:pPr>
        <w:jc w:val="center"/>
        <w:rPr>
          <w:sz w:val="26"/>
          <w:szCs w:val="26"/>
          <w:highlight w:val="yellow"/>
          <w:lang w:val="uk-UA"/>
        </w:rPr>
      </w:pPr>
    </w:p>
    <w:p w:rsidR="00542BC4" w:rsidRPr="00CB6027" w:rsidRDefault="00542BC4" w:rsidP="00542BC4">
      <w:pPr>
        <w:jc w:val="center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>Основні напрями використання коштів бюджету розвитку:</w:t>
      </w:r>
    </w:p>
    <w:p w:rsidR="00AB6974" w:rsidRDefault="00AB6974" w:rsidP="00AB6974">
      <w:pPr>
        <w:ind w:firstLine="284"/>
        <w:jc w:val="both"/>
        <w:rPr>
          <w:sz w:val="26"/>
          <w:szCs w:val="26"/>
          <w:lang w:val="uk-UA"/>
        </w:rPr>
      </w:pPr>
    </w:p>
    <w:p w:rsidR="00542BC4" w:rsidRPr="00CB6027" w:rsidRDefault="00542BC4" w:rsidP="00AB6974">
      <w:pPr>
        <w:ind w:firstLine="284"/>
        <w:jc w:val="both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 xml:space="preserve">- реконструкція території гімназії № 1 в м. </w:t>
      </w:r>
      <w:r>
        <w:rPr>
          <w:sz w:val="26"/>
          <w:szCs w:val="26"/>
          <w:lang w:val="uk-UA"/>
        </w:rPr>
        <w:t>Іллічів</w:t>
      </w:r>
      <w:r w:rsidRPr="00CB6027">
        <w:rPr>
          <w:sz w:val="26"/>
          <w:szCs w:val="26"/>
          <w:lang w:val="uk-UA"/>
        </w:rPr>
        <w:t xml:space="preserve">ську по вул. Шевченко, № 8 з будівництвом учбово-виховного комплексу початкової школи та гімназії на                     660 учнів. Будівництво учбово-виховного комплексу - </w:t>
      </w:r>
      <w:r w:rsidR="0015313C">
        <w:rPr>
          <w:sz w:val="26"/>
          <w:szCs w:val="26"/>
          <w:lang w:val="uk-UA"/>
        </w:rPr>
        <w:t>4 608,0</w:t>
      </w:r>
      <w:r w:rsidR="00D81A87">
        <w:rPr>
          <w:sz w:val="26"/>
          <w:szCs w:val="26"/>
          <w:lang w:val="uk-UA"/>
        </w:rPr>
        <w:t xml:space="preserve"> </w:t>
      </w:r>
      <w:r w:rsidRPr="00CB6027">
        <w:rPr>
          <w:sz w:val="26"/>
          <w:szCs w:val="26"/>
          <w:lang w:val="uk-UA"/>
        </w:rPr>
        <w:t>тис. грн.;</w:t>
      </w:r>
    </w:p>
    <w:p w:rsidR="00542BC4" w:rsidRDefault="00542BC4" w:rsidP="00AB6974">
      <w:pPr>
        <w:ind w:firstLine="284"/>
        <w:jc w:val="both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 xml:space="preserve">- протизсувні заходи у прибережній зоні в районі 9-го мікрорайону                                     м. Чорноморська -  </w:t>
      </w:r>
      <w:r w:rsidR="00BC5D37">
        <w:rPr>
          <w:sz w:val="26"/>
          <w:szCs w:val="26"/>
          <w:lang w:val="uk-UA"/>
        </w:rPr>
        <w:t>6 285</w:t>
      </w:r>
      <w:r w:rsidR="005F45CF">
        <w:rPr>
          <w:sz w:val="26"/>
          <w:szCs w:val="26"/>
          <w:lang w:val="uk-UA"/>
        </w:rPr>
        <w:t>,</w:t>
      </w:r>
      <w:r w:rsidR="00BC5D37">
        <w:rPr>
          <w:sz w:val="26"/>
          <w:szCs w:val="26"/>
          <w:lang w:val="uk-UA"/>
        </w:rPr>
        <w:t>9</w:t>
      </w:r>
      <w:r w:rsidR="005F45CF">
        <w:rPr>
          <w:sz w:val="26"/>
          <w:szCs w:val="26"/>
          <w:lang w:val="uk-UA"/>
        </w:rPr>
        <w:t xml:space="preserve"> </w:t>
      </w:r>
      <w:r w:rsidRPr="00CB6027">
        <w:rPr>
          <w:sz w:val="26"/>
          <w:szCs w:val="26"/>
          <w:lang w:val="uk-UA"/>
        </w:rPr>
        <w:t>тис. грн</w:t>
      </w:r>
      <w:r>
        <w:rPr>
          <w:sz w:val="26"/>
          <w:szCs w:val="26"/>
          <w:lang w:val="uk-UA"/>
        </w:rPr>
        <w:t>.;</w:t>
      </w:r>
    </w:p>
    <w:p w:rsidR="00542BC4" w:rsidRPr="00CB6027" w:rsidRDefault="00542BC4" w:rsidP="00AB6974">
      <w:pPr>
        <w:ind w:firstLine="284"/>
        <w:jc w:val="both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 xml:space="preserve">- будівництво об'єкту "Мостовий перехід через Сухий Лиман з підходами в             с. Малодолинське  на автомобільній дорозі Одеса - </w:t>
      </w:r>
      <w:r>
        <w:rPr>
          <w:sz w:val="26"/>
          <w:szCs w:val="26"/>
          <w:lang w:val="uk-UA"/>
        </w:rPr>
        <w:t>Чорноморськ</w:t>
      </w:r>
      <w:r w:rsidRPr="00CB6027">
        <w:rPr>
          <w:sz w:val="26"/>
          <w:szCs w:val="26"/>
          <w:lang w:val="uk-UA"/>
        </w:rPr>
        <w:t xml:space="preserve">" - </w:t>
      </w:r>
      <w:r w:rsidR="00B67DA6">
        <w:rPr>
          <w:sz w:val="26"/>
          <w:szCs w:val="26"/>
          <w:lang w:val="uk-UA"/>
        </w:rPr>
        <w:t xml:space="preserve">658,0 </w:t>
      </w:r>
      <w:r w:rsidRPr="00CB6027">
        <w:rPr>
          <w:sz w:val="26"/>
          <w:szCs w:val="26"/>
          <w:lang w:val="uk-UA"/>
        </w:rPr>
        <w:t>тис. грн.;</w:t>
      </w:r>
    </w:p>
    <w:p w:rsidR="00542BC4" w:rsidRDefault="00542BC4" w:rsidP="00AB6974">
      <w:pPr>
        <w:ind w:firstLine="284"/>
        <w:jc w:val="both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 xml:space="preserve">-   капітальний ремонт житлового фонду - </w:t>
      </w:r>
      <w:r w:rsidR="004C287E">
        <w:rPr>
          <w:sz w:val="26"/>
          <w:szCs w:val="26"/>
          <w:lang w:val="uk-UA"/>
        </w:rPr>
        <w:t>520</w:t>
      </w:r>
      <w:r w:rsidR="00B67DA6">
        <w:rPr>
          <w:sz w:val="26"/>
          <w:szCs w:val="26"/>
          <w:lang w:val="uk-UA"/>
        </w:rPr>
        <w:t>,</w:t>
      </w:r>
      <w:r w:rsidR="004C287E">
        <w:rPr>
          <w:sz w:val="26"/>
          <w:szCs w:val="26"/>
          <w:lang w:val="uk-UA"/>
        </w:rPr>
        <w:t>6</w:t>
      </w:r>
      <w:r w:rsidR="00B67DA6">
        <w:rPr>
          <w:sz w:val="26"/>
          <w:szCs w:val="26"/>
          <w:lang w:val="uk-UA"/>
        </w:rPr>
        <w:t xml:space="preserve"> </w:t>
      </w:r>
      <w:r w:rsidRPr="00CB6027">
        <w:rPr>
          <w:sz w:val="26"/>
          <w:szCs w:val="26"/>
          <w:lang w:val="uk-UA"/>
        </w:rPr>
        <w:t>тис. грн.</w:t>
      </w:r>
      <w:r w:rsidR="003D20FD">
        <w:rPr>
          <w:sz w:val="26"/>
          <w:szCs w:val="26"/>
          <w:lang w:val="uk-UA"/>
        </w:rPr>
        <w:t>;</w:t>
      </w:r>
    </w:p>
    <w:p w:rsidR="004C287E" w:rsidRDefault="004C287E" w:rsidP="00AB6974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415454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 xml:space="preserve"> капітальний ремонт </w:t>
      </w:r>
      <w:proofErr w:type="spellStart"/>
      <w:r>
        <w:rPr>
          <w:sz w:val="26"/>
          <w:szCs w:val="26"/>
          <w:lang w:val="uk-UA"/>
        </w:rPr>
        <w:t>стереалі</w:t>
      </w:r>
      <w:r w:rsidR="00617742">
        <w:rPr>
          <w:sz w:val="26"/>
          <w:szCs w:val="26"/>
          <w:lang w:val="uk-UA"/>
        </w:rPr>
        <w:t>зіційнного</w:t>
      </w:r>
      <w:proofErr w:type="spellEnd"/>
      <w:r w:rsidR="00617742">
        <w:rPr>
          <w:sz w:val="26"/>
          <w:szCs w:val="26"/>
          <w:lang w:val="uk-UA"/>
        </w:rPr>
        <w:t xml:space="preserve"> </w:t>
      </w:r>
      <w:r w:rsidR="005518D3">
        <w:rPr>
          <w:sz w:val="26"/>
          <w:szCs w:val="26"/>
          <w:lang w:val="uk-UA"/>
        </w:rPr>
        <w:t xml:space="preserve">блоку лікарні - </w:t>
      </w:r>
      <w:r w:rsidR="00A27897">
        <w:rPr>
          <w:sz w:val="26"/>
          <w:szCs w:val="26"/>
          <w:lang w:val="uk-UA"/>
        </w:rPr>
        <w:t>737</w:t>
      </w:r>
      <w:r w:rsidR="00EE6CC9">
        <w:rPr>
          <w:sz w:val="26"/>
          <w:szCs w:val="26"/>
          <w:lang w:val="uk-UA"/>
        </w:rPr>
        <w:t>,</w:t>
      </w:r>
      <w:r w:rsidR="00A27897">
        <w:rPr>
          <w:sz w:val="26"/>
          <w:szCs w:val="26"/>
          <w:lang w:val="uk-UA"/>
        </w:rPr>
        <w:t>9</w:t>
      </w:r>
      <w:r w:rsidR="00EE6CC9">
        <w:rPr>
          <w:sz w:val="26"/>
          <w:szCs w:val="26"/>
          <w:lang w:val="uk-UA"/>
        </w:rPr>
        <w:t xml:space="preserve"> тис. грн.;</w:t>
      </w:r>
    </w:p>
    <w:p w:rsidR="00A27897" w:rsidRDefault="00A27897" w:rsidP="00AB6974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E1381D">
        <w:rPr>
          <w:sz w:val="26"/>
          <w:szCs w:val="26"/>
          <w:lang w:val="uk-UA"/>
        </w:rPr>
        <w:t xml:space="preserve"> </w:t>
      </w:r>
      <w:r w:rsidR="00B606A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E1381D">
        <w:rPr>
          <w:sz w:val="26"/>
          <w:szCs w:val="26"/>
          <w:lang w:val="uk-UA"/>
        </w:rPr>
        <w:t xml:space="preserve">придбання </w:t>
      </w:r>
      <w:r w:rsidR="00803581">
        <w:rPr>
          <w:sz w:val="26"/>
          <w:szCs w:val="26"/>
          <w:lang w:val="uk-UA"/>
        </w:rPr>
        <w:t>гематологічного аналізатора</w:t>
      </w:r>
      <w:r w:rsidR="00EC13AB">
        <w:rPr>
          <w:sz w:val="26"/>
          <w:szCs w:val="26"/>
          <w:lang w:val="uk-UA"/>
        </w:rPr>
        <w:t xml:space="preserve"> для лікарні</w:t>
      </w:r>
      <w:r w:rsidR="00803581">
        <w:rPr>
          <w:sz w:val="26"/>
          <w:szCs w:val="26"/>
          <w:lang w:val="uk-UA"/>
        </w:rPr>
        <w:t xml:space="preserve"> - 199,9 тис. грн.;</w:t>
      </w:r>
      <w:r w:rsidR="00E1381D">
        <w:rPr>
          <w:sz w:val="26"/>
          <w:szCs w:val="26"/>
          <w:lang w:val="uk-UA"/>
        </w:rPr>
        <w:t xml:space="preserve"> </w:t>
      </w:r>
    </w:p>
    <w:p w:rsidR="00415454" w:rsidRDefault="00415454" w:rsidP="00AB6974"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- р</w:t>
      </w:r>
      <w:proofErr w:type="spellStart"/>
      <w:r w:rsidRPr="00415454">
        <w:rPr>
          <w:color w:val="000000"/>
          <w:sz w:val="26"/>
          <w:szCs w:val="26"/>
        </w:rPr>
        <w:t>еконструкція</w:t>
      </w:r>
      <w:proofErr w:type="spellEnd"/>
      <w:r w:rsidRPr="00415454">
        <w:rPr>
          <w:color w:val="000000"/>
          <w:sz w:val="26"/>
          <w:szCs w:val="26"/>
        </w:rPr>
        <w:t xml:space="preserve"> комплексу </w:t>
      </w:r>
      <w:proofErr w:type="spellStart"/>
      <w:r w:rsidRPr="00415454">
        <w:rPr>
          <w:color w:val="000000"/>
          <w:sz w:val="26"/>
          <w:szCs w:val="26"/>
        </w:rPr>
        <w:t>дитячого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дошкільного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навчального</w:t>
      </w:r>
      <w:proofErr w:type="spellEnd"/>
      <w:r w:rsidRPr="00415454">
        <w:rPr>
          <w:color w:val="000000"/>
          <w:sz w:val="26"/>
          <w:szCs w:val="26"/>
        </w:rPr>
        <w:t xml:space="preserve"> закладу № 17 по </w:t>
      </w:r>
      <w:proofErr w:type="spellStart"/>
      <w:r w:rsidRPr="00415454">
        <w:rPr>
          <w:color w:val="000000"/>
          <w:sz w:val="26"/>
          <w:szCs w:val="26"/>
        </w:rPr>
        <w:t>вул</w:t>
      </w:r>
      <w:proofErr w:type="spellEnd"/>
      <w:r w:rsidRPr="00415454">
        <w:rPr>
          <w:color w:val="000000"/>
          <w:sz w:val="26"/>
          <w:szCs w:val="26"/>
        </w:rPr>
        <w:t xml:space="preserve">. </w:t>
      </w:r>
      <w:proofErr w:type="spellStart"/>
      <w:r w:rsidRPr="00415454">
        <w:rPr>
          <w:color w:val="000000"/>
          <w:sz w:val="26"/>
          <w:szCs w:val="26"/>
        </w:rPr>
        <w:t>Світла</w:t>
      </w:r>
      <w:proofErr w:type="spellEnd"/>
      <w:r w:rsidRPr="00415454">
        <w:rPr>
          <w:color w:val="000000"/>
          <w:sz w:val="26"/>
          <w:szCs w:val="26"/>
        </w:rPr>
        <w:t xml:space="preserve">, 5 в </w:t>
      </w:r>
      <w:proofErr w:type="spellStart"/>
      <w:r w:rsidRPr="00415454">
        <w:rPr>
          <w:color w:val="000000"/>
          <w:sz w:val="26"/>
          <w:szCs w:val="26"/>
        </w:rPr>
        <w:t>селищі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Олександрівка</w:t>
      </w:r>
      <w:proofErr w:type="spellEnd"/>
      <w:r w:rsidRPr="00415454">
        <w:rPr>
          <w:color w:val="000000"/>
          <w:sz w:val="26"/>
          <w:szCs w:val="26"/>
        </w:rPr>
        <w:t xml:space="preserve">, м. Чорноморськ, </w:t>
      </w:r>
      <w:proofErr w:type="spellStart"/>
      <w:r w:rsidRPr="00415454">
        <w:rPr>
          <w:color w:val="000000"/>
          <w:sz w:val="26"/>
          <w:szCs w:val="26"/>
        </w:rPr>
        <w:t>Одеської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області</w:t>
      </w:r>
      <w:proofErr w:type="spellEnd"/>
      <w:r w:rsidRPr="00415454">
        <w:rPr>
          <w:color w:val="000000"/>
          <w:sz w:val="26"/>
          <w:szCs w:val="26"/>
        </w:rPr>
        <w:t xml:space="preserve">, </w:t>
      </w:r>
      <w:proofErr w:type="spellStart"/>
      <w:r w:rsidRPr="00415454">
        <w:rPr>
          <w:color w:val="000000"/>
          <w:sz w:val="26"/>
          <w:szCs w:val="26"/>
        </w:rPr>
        <w:t>зі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збільшенням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місткості</w:t>
      </w:r>
      <w:proofErr w:type="spellEnd"/>
      <w:r w:rsidRPr="00415454">
        <w:rPr>
          <w:color w:val="000000"/>
          <w:sz w:val="26"/>
          <w:szCs w:val="26"/>
        </w:rPr>
        <w:t xml:space="preserve"> до 140 </w:t>
      </w:r>
      <w:proofErr w:type="spellStart"/>
      <w:r w:rsidRPr="00415454">
        <w:rPr>
          <w:color w:val="000000"/>
          <w:sz w:val="26"/>
          <w:szCs w:val="26"/>
        </w:rPr>
        <w:t>осіб</w:t>
      </w:r>
      <w:proofErr w:type="spellEnd"/>
      <w:r w:rsidR="0013740A">
        <w:rPr>
          <w:color w:val="000000"/>
          <w:sz w:val="26"/>
          <w:szCs w:val="26"/>
          <w:lang w:val="uk-UA"/>
        </w:rPr>
        <w:t xml:space="preserve"> - 767,8 тис. грн.;</w:t>
      </w:r>
    </w:p>
    <w:p w:rsidR="003140C5" w:rsidRDefault="003140C5" w:rsidP="00AB6974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</w:t>
      </w:r>
      <w:proofErr w:type="spellStart"/>
      <w:r w:rsidRPr="003140C5">
        <w:rPr>
          <w:sz w:val="26"/>
          <w:szCs w:val="26"/>
        </w:rPr>
        <w:t>апітальний</w:t>
      </w:r>
      <w:proofErr w:type="spellEnd"/>
      <w:r w:rsidRPr="003140C5">
        <w:rPr>
          <w:sz w:val="26"/>
          <w:szCs w:val="26"/>
        </w:rPr>
        <w:t xml:space="preserve"> ремонт  мереж </w:t>
      </w:r>
      <w:proofErr w:type="spellStart"/>
      <w:r w:rsidRPr="003140C5">
        <w:rPr>
          <w:sz w:val="26"/>
          <w:szCs w:val="26"/>
        </w:rPr>
        <w:t>зовнішнього</w:t>
      </w:r>
      <w:proofErr w:type="spellEnd"/>
      <w:r w:rsidRPr="003140C5">
        <w:rPr>
          <w:sz w:val="26"/>
          <w:szCs w:val="26"/>
        </w:rPr>
        <w:t xml:space="preserve"> </w:t>
      </w:r>
      <w:proofErr w:type="spellStart"/>
      <w:r w:rsidRPr="003140C5">
        <w:rPr>
          <w:sz w:val="26"/>
          <w:szCs w:val="26"/>
        </w:rPr>
        <w:t>освітлення</w:t>
      </w:r>
      <w:proofErr w:type="spellEnd"/>
      <w:r w:rsidRPr="003140C5">
        <w:rPr>
          <w:sz w:val="26"/>
          <w:szCs w:val="26"/>
        </w:rPr>
        <w:t>, в т.</w:t>
      </w:r>
      <w:r>
        <w:rPr>
          <w:sz w:val="26"/>
          <w:szCs w:val="26"/>
          <w:lang w:val="uk-UA"/>
        </w:rPr>
        <w:t xml:space="preserve"> </w:t>
      </w:r>
      <w:r w:rsidRPr="003140C5">
        <w:rPr>
          <w:sz w:val="26"/>
          <w:szCs w:val="26"/>
        </w:rPr>
        <w:t xml:space="preserve">ч. за адресами: </w:t>
      </w:r>
      <w:r>
        <w:rPr>
          <w:sz w:val="26"/>
          <w:szCs w:val="26"/>
          <w:lang w:val="uk-UA"/>
        </w:rPr>
        <w:t xml:space="preserve">                                </w:t>
      </w:r>
      <w:proofErr w:type="spellStart"/>
      <w:r w:rsidRPr="003140C5">
        <w:rPr>
          <w:sz w:val="26"/>
          <w:szCs w:val="26"/>
        </w:rPr>
        <w:t>вул</w:t>
      </w:r>
      <w:proofErr w:type="spellEnd"/>
      <w:r w:rsidRPr="003140C5">
        <w:rPr>
          <w:sz w:val="26"/>
          <w:szCs w:val="26"/>
        </w:rPr>
        <w:t xml:space="preserve">. </w:t>
      </w:r>
      <w:proofErr w:type="spellStart"/>
      <w:r w:rsidRPr="003140C5">
        <w:rPr>
          <w:sz w:val="26"/>
          <w:szCs w:val="26"/>
        </w:rPr>
        <w:t>Парусна</w:t>
      </w:r>
      <w:proofErr w:type="spellEnd"/>
      <w:r w:rsidRPr="003140C5">
        <w:rPr>
          <w:sz w:val="26"/>
          <w:szCs w:val="26"/>
        </w:rPr>
        <w:t xml:space="preserve">, № 9,11,13,15,17; </w:t>
      </w:r>
      <w:proofErr w:type="spellStart"/>
      <w:r w:rsidRPr="003140C5">
        <w:rPr>
          <w:sz w:val="26"/>
          <w:szCs w:val="26"/>
        </w:rPr>
        <w:t>вул</w:t>
      </w:r>
      <w:proofErr w:type="spellEnd"/>
      <w:r w:rsidRPr="003140C5">
        <w:rPr>
          <w:sz w:val="26"/>
          <w:szCs w:val="26"/>
        </w:rPr>
        <w:t xml:space="preserve">. В.Шума, № 2 а, 2б, 2в, 2г в м. Чорноморськ </w:t>
      </w:r>
      <w:proofErr w:type="spellStart"/>
      <w:r w:rsidRPr="003140C5">
        <w:rPr>
          <w:sz w:val="26"/>
          <w:szCs w:val="26"/>
        </w:rPr>
        <w:t>Одеської</w:t>
      </w:r>
      <w:proofErr w:type="spellEnd"/>
      <w:r w:rsidRPr="003140C5">
        <w:rPr>
          <w:sz w:val="26"/>
          <w:szCs w:val="26"/>
        </w:rPr>
        <w:t xml:space="preserve"> </w:t>
      </w:r>
      <w:proofErr w:type="spellStart"/>
      <w:r w:rsidRPr="003140C5">
        <w:rPr>
          <w:sz w:val="26"/>
          <w:szCs w:val="26"/>
        </w:rPr>
        <w:t>області</w:t>
      </w:r>
      <w:proofErr w:type="spellEnd"/>
      <w:r w:rsidR="005222CC">
        <w:rPr>
          <w:sz w:val="26"/>
          <w:szCs w:val="26"/>
          <w:lang w:val="uk-UA"/>
        </w:rPr>
        <w:t xml:space="preserve"> - 117,3 </w:t>
      </w:r>
      <w:proofErr w:type="spellStart"/>
      <w:r w:rsidR="005222CC">
        <w:rPr>
          <w:sz w:val="26"/>
          <w:szCs w:val="26"/>
          <w:lang w:val="uk-UA"/>
        </w:rPr>
        <w:t>тис.грн</w:t>
      </w:r>
      <w:proofErr w:type="spellEnd"/>
      <w:r w:rsidR="005222CC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;</w:t>
      </w:r>
    </w:p>
    <w:p w:rsidR="000233A3" w:rsidRDefault="005222CC" w:rsidP="00AB6974"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- к</w:t>
      </w:r>
      <w:proofErr w:type="spellStart"/>
      <w:r w:rsidRPr="005222CC">
        <w:rPr>
          <w:color w:val="000000"/>
          <w:sz w:val="26"/>
          <w:szCs w:val="26"/>
        </w:rPr>
        <w:t>апітальний</w:t>
      </w:r>
      <w:proofErr w:type="spellEnd"/>
      <w:r w:rsidRPr="005222CC">
        <w:rPr>
          <w:color w:val="000000"/>
          <w:sz w:val="26"/>
          <w:szCs w:val="26"/>
        </w:rPr>
        <w:t xml:space="preserve"> ремонт </w:t>
      </w:r>
      <w:proofErr w:type="spellStart"/>
      <w:r w:rsidRPr="005222CC">
        <w:rPr>
          <w:color w:val="000000"/>
          <w:sz w:val="26"/>
          <w:szCs w:val="26"/>
        </w:rPr>
        <w:t>аварійного</w:t>
      </w:r>
      <w:proofErr w:type="spellEnd"/>
      <w:r w:rsidRPr="005222CC">
        <w:rPr>
          <w:color w:val="000000"/>
          <w:sz w:val="26"/>
          <w:szCs w:val="26"/>
        </w:rPr>
        <w:t xml:space="preserve"> </w:t>
      </w:r>
      <w:proofErr w:type="spellStart"/>
      <w:r w:rsidRPr="005222CC">
        <w:rPr>
          <w:color w:val="000000"/>
          <w:sz w:val="26"/>
          <w:szCs w:val="26"/>
        </w:rPr>
        <w:t>колектору</w:t>
      </w:r>
      <w:proofErr w:type="spellEnd"/>
      <w:r w:rsidRPr="005222CC">
        <w:rPr>
          <w:color w:val="000000"/>
          <w:sz w:val="26"/>
          <w:szCs w:val="26"/>
        </w:rPr>
        <w:t xml:space="preserve"> по </w:t>
      </w:r>
      <w:proofErr w:type="spellStart"/>
      <w:r w:rsidRPr="005222CC">
        <w:rPr>
          <w:color w:val="000000"/>
          <w:sz w:val="26"/>
          <w:szCs w:val="26"/>
        </w:rPr>
        <w:t>вул</w:t>
      </w:r>
      <w:proofErr w:type="spellEnd"/>
      <w:r w:rsidRPr="005222CC">
        <w:rPr>
          <w:color w:val="000000"/>
          <w:sz w:val="26"/>
          <w:szCs w:val="26"/>
        </w:rPr>
        <w:t xml:space="preserve">. </w:t>
      </w:r>
      <w:proofErr w:type="spellStart"/>
      <w:r w:rsidRPr="005222CC">
        <w:rPr>
          <w:color w:val="000000"/>
          <w:sz w:val="26"/>
          <w:szCs w:val="26"/>
        </w:rPr>
        <w:t>Паркова</w:t>
      </w:r>
      <w:proofErr w:type="spellEnd"/>
      <w:r w:rsidRPr="005222CC">
        <w:rPr>
          <w:color w:val="000000"/>
          <w:sz w:val="26"/>
          <w:szCs w:val="26"/>
        </w:rPr>
        <w:t xml:space="preserve"> в м. </w:t>
      </w:r>
      <w:proofErr w:type="spellStart"/>
      <w:r w:rsidRPr="005222CC">
        <w:rPr>
          <w:color w:val="000000"/>
          <w:sz w:val="26"/>
          <w:szCs w:val="26"/>
        </w:rPr>
        <w:t>Чорноморську</w:t>
      </w:r>
      <w:proofErr w:type="spellEnd"/>
      <w:r w:rsidR="000233A3">
        <w:rPr>
          <w:color w:val="000000"/>
          <w:sz w:val="26"/>
          <w:szCs w:val="26"/>
          <w:lang w:val="uk-UA"/>
        </w:rPr>
        <w:t>- 431,4 тис. грн.;</w:t>
      </w:r>
    </w:p>
    <w:p w:rsidR="00961772" w:rsidRPr="00961772" w:rsidRDefault="00961772" w:rsidP="00AB6974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</w:t>
      </w:r>
      <w:proofErr w:type="spellStart"/>
      <w:r w:rsidRPr="00961772">
        <w:rPr>
          <w:sz w:val="26"/>
          <w:szCs w:val="26"/>
        </w:rPr>
        <w:t>апітальний</w:t>
      </w:r>
      <w:proofErr w:type="spellEnd"/>
      <w:r w:rsidRPr="00961772">
        <w:rPr>
          <w:sz w:val="26"/>
          <w:szCs w:val="26"/>
        </w:rPr>
        <w:t xml:space="preserve"> ремонт </w:t>
      </w:r>
      <w:proofErr w:type="spellStart"/>
      <w:r w:rsidRPr="00961772">
        <w:rPr>
          <w:sz w:val="26"/>
          <w:szCs w:val="26"/>
        </w:rPr>
        <w:t>вулиць</w:t>
      </w:r>
      <w:proofErr w:type="spellEnd"/>
      <w:r w:rsidRPr="00961772">
        <w:rPr>
          <w:sz w:val="26"/>
          <w:szCs w:val="26"/>
        </w:rPr>
        <w:t xml:space="preserve">, </w:t>
      </w:r>
      <w:proofErr w:type="spellStart"/>
      <w:r w:rsidRPr="00961772">
        <w:rPr>
          <w:sz w:val="26"/>
          <w:szCs w:val="26"/>
        </w:rPr>
        <w:t>доріг</w:t>
      </w:r>
      <w:proofErr w:type="spellEnd"/>
      <w:r w:rsidRPr="00961772">
        <w:rPr>
          <w:sz w:val="26"/>
          <w:szCs w:val="26"/>
        </w:rPr>
        <w:t xml:space="preserve">, </w:t>
      </w:r>
      <w:proofErr w:type="spellStart"/>
      <w:r w:rsidRPr="00961772">
        <w:rPr>
          <w:sz w:val="26"/>
          <w:szCs w:val="26"/>
        </w:rPr>
        <w:t>тротуарів</w:t>
      </w:r>
      <w:proofErr w:type="spellEnd"/>
      <w:r>
        <w:rPr>
          <w:sz w:val="26"/>
          <w:szCs w:val="26"/>
          <w:lang w:val="uk-UA"/>
        </w:rPr>
        <w:t xml:space="preserve"> - 458,2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0233A3" w:rsidRPr="0015614C" w:rsidRDefault="000233A3" w:rsidP="00AB6974"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- у</w:t>
      </w:r>
      <w:proofErr w:type="spellStart"/>
      <w:r w:rsidRPr="000233A3">
        <w:rPr>
          <w:color w:val="000000"/>
          <w:sz w:val="26"/>
          <w:szCs w:val="26"/>
        </w:rPr>
        <w:t>лаштування</w:t>
      </w:r>
      <w:proofErr w:type="spellEnd"/>
      <w:r w:rsidRPr="000233A3">
        <w:rPr>
          <w:color w:val="000000"/>
          <w:sz w:val="26"/>
          <w:szCs w:val="26"/>
        </w:rPr>
        <w:t xml:space="preserve"> </w:t>
      </w:r>
      <w:proofErr w:type="spellStart"/>
      <w:r w:rsidRPr="000233A3">
        <w:rPr>
          <w:color w:val="000000"/>
          <w:sz w:val="26"/>
          <w:szCs w:val="26"/>
        </w:rPr>
        <w:t>огорожі</w:t>
      </w:r>
      <w:proofErr w:type="spellEnd"/>
      <w:r w:rsidRPr="000233A3">
        <w:rPr>
          <w:color w:val="000000"/>
          <w:sz w:val="26"/>
          <w:szCs w:val="26"/>
        </w:rPr>
        <w:t xml:space="preserve"> та </w:t>
      </w:r>
      <w:proofErr w:type="spellStart"/>
      <w:r w:rsidRPr="000233A3">
        <w:rPr>
          <w:color w:val="000000"/>
          <w:sz w:val="26"/>
          <w:szCs w:val="26"/>
        </w:rPr>
        <w:t>благоустрій</w:t>
      </w:r>
      <w:proofErr w:type="spellEnd"/>
      <w:r w:rsidRPr="000233A3">
        <w:rPr>
          <w:color w:val="000000"/>
          <w:sz w:val="26"/>
          <w:szCs w:val="26"/>
        </w:rPr>
        <w:t xml:space="preserve"> </w:t>
      </w:r>
      <w:proofErr w:type="spellStart"/>
      <w:r w:rsidRPr="000233A3">
        <w:rPr>
          <w:color w:val="000000"/>
          <w:sz w:val="26"/>
          <w:szCs w:val="26"/>
        </w:rPr>
        <w:t>території</w:t>
      </w:r>
      <w:proofErr w:type="spellEnd"/>
      <w:r w:rsidRPr="000233A3">
        <w:rPr>
          <w:color w:val="000000"/>
          <w:sz w:val="26"/>
          <w:szCs w:val="26"/>
        </w:rPr>
        <w:t xml:space="preserve"> КНС-2 </w:t>
      </w:r>
      <w:proofErr w:type="spellStart"/>
      <w:r w:rsidRPr="000233A3">
        <w:rPr>
          <w:color w:val="000000"/>
          <w:sz w:val="26"/>
          <w:szCs w:val="26"/>
        </w:rPr>
        <w:t>і</w:t>
      </w:r>
      <w:proofErr w:type="spellEnd"/>
      <w:r w:rsidRPr="000233A3">
        <w:rPr>
          <w:color w:val="000000"/>
          <w:sz w:val="26"/>
          <w:szCs w:val="26"/>
        </w:rPr>
        <w:t xml:space="preserve"> </w:t>
      </w:r>
      <w:proofErr w:type="spellStart"/>
      <w:r w:rsidRPr="000233A3">
        <w:rPr>
          <w:color w:val="000000"/>
          <w:sz w:val="26"/>
          <w:szCs w:val="26"/>
        </w:rPr>
        <w:t>електропідстанції</w:t>
      </w:r>
      <w:proofErr w:type="spellEnd"/>
      <w:r w:rsidRPr="000233A3">
        <w:rPr>
          <w:color w:val="000000"/>
          <w:sz w:val="26"/>
          <w:szCs w:val="26"/>
        </w:rPr>
        <w:t xml:space="preserve"> в </w:t>
      </w:r>
      <w:r w:rsidR="00256013">
        <w:rPr>
          <w:color w:val="000000"/>
          <w:sz w:val="26"/>
          <w:szCs w:val="26"/>
          <w:lang w:val="uk-UA"/>
        </w:rPr>
        <w:t xml:space="preserve">                          </w:t>
      </w:r>
      <w:r w:rsidRPr="000233A3">
        <w:rPr>
          <w:color w:val="000000"/>
          <w:sz w:val="26"/>
          <w:szCs w:val="26"/>
        </w:rPr>
        <w:t>с. Малодолинське</w:t>
      </w:r>
      <w:r w:rsidR="0015614C">
        <w:rPr>
          <w:color w:val="000000"/>
          <w:sz w:val="26"/>
          <w:szCs w:val="26"/>
          <w:lang w:val="uk-UA"/>
        </w:rPr>
        <w:t xml:space="preserve"> - 160,0 </w:t>
      </w:r>
      <w:proofErr w:type="spellStart"/>
      <w:r w:rsidR="0015614C">
        <w:rPr>
          <w:color w:val="000000"/>
          <w:sz w:val="26"/>
          <w:szCs w:val="26"/>
          <w:lang w:val="uk-UA"/>
        </w:rPr>
        <w:t>тис.грн</w:t>
      </w:r>
      <w:proofErr w:type="spellEnd"/>
      <w:r w:rsidR="0015614C">
        <w:rPr>
          <w:color w:val="000000"/>
          <w:sz w:val="26"/>
          <w:szCs w:val="26"/>
          <w:lang w:val="uk-UA"/>
        </w:rPr>
        <w:t>.;</w:t>
      </w:r>
    </w:p>
    <w:p w:rsidR="003D20FD" w:rsidRPr="00CB6027" w:rsidRDefault="003D20FD" w:rsidP="00AB6974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 внески до статутного капіталу "</w:t>
      </w:r>
      <w:proofErr w:type="spellStart"/>
      <w:r>
        <w:rPr>
          <w:sz w:val="26"/>
          <w:szCs w:val="26"/>
          <w:lang w:val="uk-UA"/>
        </w:rPr>
        <w:t>Зеленгосп</w:t>
      </w:r>
      <w:proofErr w:type="spellEnd"/>
      <w:r>
        <w:rPr>
          <w:sz w:val="26"/>
          <w:szCs w:val="26"/>
          <w:lang w:val="uk-UA"/>
        </w:rPr>
        <w:t xml:space="preserve">" на придбання основних фондів - 1000,0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8D7073" w:rsidRPr="00142D82" w:rsidRDefault="008D7073" w:rsidP="00C71180">
      <w:pPr>
        <w:jc w:val="center"/>
        <w:rPr>
          <w:sz w:val="26"/>
          <w:szCs w:val="26"/>
          <w:highlight w:val="yellow"/>
          <w:lang w:val="uk-UA"/>
        </w:rPr>
      </w:pPr>
    </w:p>
    <w:p w:rsidR="00C71180" w:rsidRPr="00CB6027" w:rsidRDefault="00C71180" w:rsidP="00C71180">
      <w:pPr>
        <w:jc w:val="both"/>
        <w:rPr>
          <w:sz w:val="26"/>
          <w:szCs w:val="26"/>
          <w:lang w:val="uk-UA"/>
        </w:rPr>
      </w:pPr>
    </w:p>
    <w:p w:rsidR="00F36B6D" w:rsidRDefault="00F36B6D" w:rsidP="00377B8E">
      <w:pPr>
        <w:ind w:firstLine="708"/>
        <w:jc w:val="right"/>
        <w:rPr>
          <w:b/>
          <w:lang w:val="uk-UA"/>
        </w:rPr>
      </w:pPr>
    </w:p>
    <w:p w:rsidR="00CB6027" w:rsidRDefault="00377B8E" w:rsidP="00377B8E">
      <w:pPr>
        <w:ind w:firstLine="708"/>
        <w:jc w:val="right"/>
        <w:rPr>
          <w:b/>
          <w:lang w:val="uk-UA"/>
        </w:rPr>
      </w:pPr>
      <w:r w:rsidRPr="00CB6027">
        <w:rPr>
          <w:b/>
          <w:lang w:val="uk-UA"/>
        </w:rPr>
        <w:t>Фінансове управління</w:t>
      </w:r>
      <w:r w:rsidR="00CB6027">
        <w:rPr>
          <w:b/>
          <w:lang w:val="uk-UA"/>
        </w:rPr>
        <w:t xml:space="preserve"> </w:t>
      </w:r>
    </w:p>
    <w:p w:rsidR="00377B8E" w:rsidRPr="00377B8E" w:rsidRDefault="00C71180" w:rsidP="00377B8E">
      <w:pPr>
        <w:ind w:firstLine="708"/>
        <w:jc w:val="right"/>
        <w:rPr>
          <w:b/>
          <w:lang w:val="uk-UA"/>
        </w:rPr>
      </w:pPr>
      <w:r>
        <w:rPr>
          <w:b/>
          <w:lang w:val="uk-UA"/>
        </w:rPr>
        <w:t>Чорноморської</w:t>
      </w:r>
      <w:r w:rsidR="00377B8E" w:rsidRPr="00377B8E">
        <w:rPr>
          <w:b/>
          <w:lang w:val="uk-UA"/>
        </w:rPr>
        <w:t xml:space="preserve"> міської ради</w:t>
      </w:r>
    </w:p>
    <w:sectPr w:rsidR="00377B8E" w:rsidRPr="00377B8E" w:rsidSect="002E0F3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73C9"/>
    <w:multiLevelType w:val="hybridMultilevel"/>
    <w:tmpl w:val="AF68CC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1031F"/>
    <w:multiLevelType w:val="hybridMultilevel"/>
    <w:tmpl w:val="1024BAE6"/>
    <w:lvl w:ilvl="0" w:tplc="949E206C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2CAA36BA"/>
    <w:multiLevelType w:val="hybridMultilevel"/>
    <w:tmpl w:val="E7B24842"/>
    <w:lvl w:ilvl="0" w:tplc="E7F64FB2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21A74B6"/>
    <w:multiLevelType w:val="hybridMultilevel"/>
    <w:tmpl w:val="6BF8627E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652F0958"/>
    <w:multiLevelType w:val="hybridMultilevel"/>
    <w:tmpl w:val="4B86C27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7652F5"/>
    <w:multiLevelType w:val="hybridMultilevel"/>
    <w:tmpl w:val="9F74A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C91A51"/>
    <w:multiLevelType w:val="hybridMultilevel"/>
    <w:tmpl w:val="8334E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362BE"/>
    <w:multiLevelType w:val="hybridMultilevel"/>
    <w:tmpl w:val="B66E1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4302B"/>
    <w:multiLevelType w:val="hybridMultilevel"/>
    <w:tmpl w:val="5A68D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7684B"/>
    <w:rsid w:val="0000368D"/>
    <w:rsid w:val="000051FA"/>
    <w:rsid w:val="000079F4"/>
    <w:rsid w:val="00007D66"/>
    <w:rsid w:val="00015B3B"/>
    <w:rsid w:val="00017F58"/>
    <w:rsid w:val="000233A3"/>
    <w:rsid w:val="00023EAD"/>
    <w:rsid w:val="00024310"/>
    <w:rsid w:val="0002488E"/>
    <w:rsid w:val="000257EB"/>
    <w:rsid w:val="000420CA"/>
    <w:rsid w:val="00043369"/>
    <w:rsid w:val="00047921"/>
    <w:rsid w:val="00047AFD"/>
    <w:rsid w:val="000521B2"/>
    <w:rsid w:val="0005341C"/>
    <w:rsid w:val="000570CC"/>
    <w:rsid w:val="0006124E"/>
    <w:rsid w:val="00063458"/>
    <w:rsid w:val="000635B1"/>
    <w:rsid w:val="000673F4"/>
    <w:rsid w:val="00074AE2"/>
    <w:rsid w:val="00075062"/>
    <w:rsid w:val="0007659D"/>
    <w:rsid w:val="0007730B"/>
    <w:rsid w:val="00081256"/>
    <w:rsid w:val="00084104"/>
    <w:rsid w:val="00086F60"/>
    <w:rsid w:val="000938D5"/>
    <w:rsid w:val="000941BF"/>
    <w:rsid w:val="000A024A"/>
    <w:rsid w:val="000A0333"/>
    <w:rsid w:val="000B1F4E"/>
    <w:rsid w:val="000B40CD"/>
    <w:rsid w:val="000C31E7"/>
    <w:rsid w:val="000C70A0"/>
    <w:rsid w:val="000C7612"/>
    <w:rsid w:val="000D6602"/>
    <w:rsid w:val="000E1615"/>
    <w:rsid w:val="000F3232"/>
    <w:rsid w:val="000F5211"/>
    <w:rsid w:val="000F5FF8"/>
    <w:rsid w:val="00102036"/>
    <w:rsid w:val="00104553"/>
    <w:rsid w:val="00105A14"/>
    <w:rsid w:val="00110448"/>
    <w:rsid w:val="00111333"/>
    <w:rsid w:val="001119FF"/>
    <w:rsid w:val="0011572D"/>
    <w:rsid w:val="001172BF"/>
    <w:rsid w:val="0011756B"/>
    <w:rsid w:val="0012162B"/>
    <w:rsid w:val="0012486E"/>
    <w:rsid w:val="00127E40"/>
    <w:rsid w:val="001304B6"/>
    <w:rsid w:val="0013537F"/>
    <w:rsid w:val="0013740A"/>
    <w:rsid w:val="00140B69"/>
    <w:rsid w:val="00142D82"/>
    <w:rsid w:val="001440A6"/>
    <w:rsid w:val="00145EFD"/>
    <w:rsid w:val="00150991"/>
    <w:rsid w:val="00150A27"/>
    <w:rsid w:val="00151BE9"/>
    <w:rsid w:val="001521AD"/>
    <w:rsid w:val="00152A47"/>
    <w:rsid w:val="0015313C"/>
    <w:rsid w:val="0015614C"/>
    <w:rsid w:val="00156984"/>
    <w:rsid w:val="00157DC9"/>
    <w:rsid w:val="0016178D"/>
    <w:rsid w:val="001642B6"/>
    <w:rsid w:val="00164636"/>
    <w:rsid w:val="00167B9B"/>
    <w:rsid w:val="00171ABD"/>
    <w:rsid w:val="0017272E"/>
    <w:rsid w:val="00172ED2"/>
    <w:rsid w:val="00174886"/>
    <w:rsid w:val="00177B45"/>
    <w:rsid w:val="001849B1"/>
    <w:rsid w:val="00186176"/>
    <w:rsid w:val="001870CE"/>
    <w:rsid w:val="001876E9"/>
    <w:rsid w:val="001926AF"/>
    <w:rsid w:val="001947C8"/>
    <w:rsid w:val="001A46C2"/>
    <w:rsid w:val="001A5B01"/>
    <w:rsid w:val="001A691D"/>
    <w:rsid w:val="001B24DD"/>
    <w:rsid w:val="001B29F1"/>
    <w:rsid w:val="001C27AF"/>
    <w:rsid w:val="001C4F82"/>
    <w:rsid w:val="001C697F"/>
    <w:rsid w:val="001C7208"/>
    <w:rsid w:val="001D3BFF"/>
    <w:rsid w:val="001E1351"/>
    <w:rsid w:val="001E1452"/>
    <w:rsid w:val="001E33BC"/>
    <w:rsid w:val="001F57B1"/>
    <w:rsid w:val="0020188C"/>
    <w:rsid w:val="002025C9"/>
    <w:rsid w:val="00203342"/>
    <w:rsid w:val="0020389C"/>
    <w:rsid w:val="00205987"/>
    <w:rsid w:val="00212CA9"/>
    <w:rsid w:val="00215B7D"/>
    <w:rsid w:val="002171A4"/>
    <w:rsid w:val="0022233E"/>
    <w:rsid w:val="00222A53"/>
    <w:rsid w:val="00223C6F"/>
    <w:rsid w:val="00227F37"/>
    <w:rsid w:val="0023406A"/>
    <w:rsid w:val="00235647"/>
    <w:rsid w:val="00237CB7"/>
    <w:rsid w:val="00240C26"/>
    <w:rsid w:val="002425B2"/>
    <w:rsid w:val="00244937"/>
    <w:rsid w:val="002475A3"/>
    <w:rsid w:val="002475B3"/>
    <w:rsid w:val="002521C5"/>
    <w:rsid w:val="00256013"/>
    <w:rsid w:val="002577E4"/>
    <w:rsid w:val="00257DBD"/>
    <w:rsid w:val="00260E21"/>
    <w:rsid w:val="00264762"/>
    <w:rsid w:val="00267BF4"/>
    <w:rsid w:val="002710D2"/>
    <w:rsid w:val="00276207"/>
    <w:rsid w:val="00281C62"/>
    <w:rsid w:val="00281DF9"/>
    <w:rsid w:val="002825C5"/>
    <w:rsid w:val="002861EE"/>
    <w:rsid w:val="00290AAE"/>
    <w:rsid w:val="0029187C"/>
    <w:rsid w:val="0029350B"/>
    <w:rsid w:val="0029487C"/>
    <w:rsid w:val="002A2C1C"/>
    <w:rsid w:val="002A5C08"/>
    <w:rsid w:val="002A7E95"/>
    <w:rsid w:val="002B005C"/>
    <w:rsid w:val="002B362D"/>
    <w:rsid w:val="002B4C71"/>
    <w:rsid w:val="002B75BF"/>
    <w:rsid w:val="002C231C"/>
    <w:rsid w:val="002C449F"/>
    <w:rsid w:val="002C51C8"/>
    <w:rsid w:val="002D1E1E"/>
    <w:rsid w:val="002D4F20"/>
    <w:rsid w:val="002D70B9"/>
    <w:rsid w:val="002D76D8"/>
    <w:rsid w:val="002E0F3B"/>
    <w:rsid w:val="002E2592"/>
    <w:rsid w:val="002E6555"/>
    <w:rsid w:val="002E6CAF"/>
    <w:rsid w:val="002E7CFC"/>
    <w:rsid w:val="002F1220"/>
    <w:rsid w:val="002F1CBC"/>
    <w:rsid w:val="002F3A21"/>
    <w:rsid w:val="002F3B2A"/>
    <w:rsid w:val="00302990"/>
    <w:rsid w:val="00310731"/>
    <w:rsid w:val="003140C5"/>
    <w:rsid w:val="003145EB"/>
    <w:rsid w:val="00316898"/>
    <w:rsid w:val="0032066F"/>
    <w:rsid w:val="00320EB2"/>
    <w:rsid w:val="003216A8"/>
    <w:rsid w:val="00321BDE"/>
    <w:rsid w:val="00327082"/>
    <w:rsid w:val="00327652"/>
    <w:rsid w:val="00327804"/>
    <w:rsid w:val="00327B7B"/>
    <w:rsid w:val="00332B2A"/>
    <w:rsid w:val="00341055"/>
    <w:rsid w:val="00341F6E"/>
    <w:rsid w:val="00342696"/>
    <w:rsid w:val="00343B24"/>
    <w:rsid w:val="00343BE0"/>
    <w:rsid w:val="00346FF3"/>
    <w:rsid w:val="003470FC"/>
    <w:rsid w:val="00351666"/>
    <w:rsid w:val="00356E72"/>
    <w:rsid w:val="0036133C"/>
    <w:rsid w:val="00361B06"/>
    <w:rsid w:val="00363C76"/>
    <w:rsid w:val="003641D9"/>
    <w:rsid w:val="00370154"/>
    <w:rsid w:val="00371133"/>
    <w:rsid w:val="00377B8E"/>
    <w:rsid w:val="00380B49"/>
    <w:rsid w:val="00380C6A"/>
    <w:rsid w:val="003838CB"/>
    <w:rsid w:val="0038469D"/>
    <w:rsid w:val="003859FA"/>
    <w:rsid w:val="003900AA"/>
    <w:rsid w:val="00392C59"/>
    <w:rsid w:val="00394925"/>
    <w:rsid w:val="00396224"/>
    <w:rsid w:val="003A6F59"/>
    <w:rsid w:val="003B10D1"/>
    <w:rsid w:val="003B267E"/>
    <w:rsid w:val="003B4AFA"/>
    <w:rsid w:val="003B603D"/>
    <w:rsid w:val="003B69E2"/>
    <w:rsid w:val="003C012C"/>
    <w:rsid w:val="003C05F5"/>
    <w:rsid w:val="003C0AAC"/>
    <w:rsid w:val="003C1864"/>
    <w:rsid w:val="003C5F5C"/>
    <w:rsid w:val="003D13DD"/>
    <w:rsid w:val="003D20FD"/>
    <w:rsid w:val="003D4555"/>
    <w:rsid w:val="003D4D03"/>
    <w:rsid w:val="003D734B"/>
    <w:rsid w:val="003E1CB6"/>
    <w:rsid w:val="003E554E"/>
    <w:rsid w:val="003E56DA"/>
    <w:rsid w:val="003E5B4F"/>
    <w:rsid w:val="003F08DB"/>
    <w:rsid w:val="003F29A0"/>
    <w:rsid w:val="003F5F21"/>
    <w:rsid w:val="00400818"/>
    <w:rsid w:val="00403626"/>
    <w:rsid w:val="00404920"/>
    <w:rsid w:val="00407A9E"/>
    <w:rsid w:val="00410D06"/>
    <w:rsid w:val="004120BE"/>
    <w:rsid w:val="00415454"/>
    <w:rsid w:val="00421EBE"/>
    <w:rsid w:val="0042611B"/>
    <w:rsid w:val="00430774"/>
    <w:rsid w:val="0043419C"/>
    <w:rsid w:val="00440162"/>
    <w:rsid w:val="004414B2"/>
    <w:rsid w:val="00442112"/>
    <w:rsid w:val="00445A57"/>
    <w:rsid w:val="004531AC"/>
    <w:rsid w:val="00456075"/>
    <w:rsid w:val="0045672A"/>
    <w:rsid w:val="0046341F"/>
    <w:rsid w:val="00464631"/>
    <w:rsid w:val="00466900"/>
    <w:rsid w:val="00466E7A"/>
    <w:rsid w:val="00470B06"/>
    <w:rsid w:val="004760DC"/>
    <w:rsid w:val="004778D1"/>
    <w:rsid w:val="004833A3"/>
    <w:rsid w:val="0048392B"/>
    <w:rsid w:val="00486355"/>
    <w:rsid w:val="0049125C"/>
    <w:rsid w:val="00494332"/>
    <w:rsid w:val="00495CAE"/>
    <w:rsid w:val="004A0175"/>
    <w:rsid w:val="004A0421"/>
    <w:rsid w:val="004A181B"/>
    <w:rsid w:val="004A2221"/>
    <w:rsid w:val="004A422C"/>
    <w:rsid w:val="004A6393"/>
    <w:rsid w:val="004A6F34"/>
    <w:rsid w:val="004B4A2B"/>
    <w:rsid w:val="004B6365"/>
    <w:rsid w:val="004C147F"/>
    <w:rsid w:val="004C287E"/>
    <w:rsid w:val="004D4B5A"/>
    <w:rsid w:val="004D5547"/>
    <w:rsid w:val="004D6CC6"/>
    <w:rsid w:val="004E65C4"/>
    <w:rsid w:val="004F276F"/>
    <w:rsid w:val="004F41D7"/>
    <w:rsid w:val="004F58C7"/>
    <w:rsid w:val="005060B8"/>
    <w:rsid w:val="0050782D"/>
    <w:rsid w:val="00512794"/>
    <w:rsid w:val="00512AB0"/>
    <w:rsid w:val="00514836"/>
    <w:rsid w:val="0051760B"/>
    <w:rsid w:val="005222CC"/>
    <w:rsid w:val="00524DAD"/>
    <w:rsid w:val="00525B9B"/>
    <w:rsid w:val="0053019C"/>
    <w:rsid w:val="00530345"/>
    <w:rsid w:val="0053267E"/>
    <w:rsid w:val="005326B2"/>
    <w:rsid w:val="0053537A"/>
    <w:rsid w:val="005366E7"/>
    <w:rsid w:val="00541BAB"/>
    <w:rsid w:val="00542348"/>
    <w:rsid w:val="005427A3"/>
    <w:rsid w:val="00542BC4"/>
    <w:rsid w:val="0054378A"/>
    <w:rsid w:val="00545D38"/>
    <w:rsid w:val="005518D3"/>
    <w:rsid w:val="00552AF4"/>
    <w:rsid w:val="005531C9"/>
    <w:rsid w:val="00554B6E"/>
    <w:rsid w:val="00555360"/>
    <w:rsid w:val="0055550E"/>
    <w:rsid w:val="005625EE"/>
    <w:rsid w:val="00564927"/>
    <w:rsid w:val="005672C9"/>
    <w:rsid w:val="00567A5D"/>
    <w:rsid w:val="00580303"/>
    <w:rsid w:val="00591284"/>
    <w:rsid w:val="00593FEF"/>
    <w:rsid w:val="00595A59"/>
    <w:rsid w:val="00596962"/>
    <w:rsid w:val="00597B73"/>
    <w:rsid w:val="005A0D88"/>
    <w:rsid w:val="005A691F"/>
    <w:rsid w:val="005B0BCF"/>
    <w:rsid w:val="005B572C"/>
    <w:rsid w:val="005B6555"/>
    <w:rsid w:val="005C0482"/>
    <w:rsid w:val="005C2656"/>
    <w:rsid w:val="005D06C3"/>
    <w:rsid w:val="005D1931"/>
    <w:rsid w:val="005D220B"/>
    <w:rsid w:val="005D28F4"/>
    <w:rsid w:val="005D4343"/>
    <w:rsid w:val="005D7F05"/>
    <w:rsid w:val="005E168D"/>
    <w:rsid w:val="005E5FC6"/>
    <w:rsid w:val="005E6D6C"/>
    <w:rsid w:val="005E7D56"/>
    <w:rsid w:val="005F3ADD"/>
    <w:rsid w:val="005F3BBD"/>
    <w:rsid w:val="005F45CF"/>
    <w:rsid w:val="005F4D15"/>
    <w:rsid w:val="0060223E"/>
    <w:rsid w:val="00617417"/>
    <w:rsid w:val="00617742"/>
    <w:rsid w:val="00621450"/>
    <w:rsid w:val="0062280B"/>
    <w:rsid w:val="00625308"/>
    <w:rsid w:val="00627EA8"/>
    <w:rsid w:val="00632CCE"/>
    <w:rsid w:val="00633017"/>
    <w:rsid w:val="006354D7"/>
    <w:rsid w:val="00635A71"/>
    <w:rsid w:val="00644C2D"/>
    <w:rsid w:val="00653360"/>
    <w:rsid w:val="006544A3"/>
    <w:rsid w:val="00667C8B"/>
    <w:rsid w:val="0067134D"/>
    <w:rsid w:val="00671F1B"/>
    <w:rsid w:val="0067222B"/>
    <w:rsid w:val="00674116"/>
    <w:rsid w:val="0067666C"/>
    <w:rsid w:val="0068161A"/>
    <w:rsid w:val="00682377"/>
    <w:rsid w:val="006911AD"/>
    <w:rsid w:val="006926A4"/>
    <w:rsid w:val="00693802"/>
    <w:rsid w:val="00695426"/>
    <w:rsid w:val="006A0B71"/>
    <w:rsid w:val="006A15E3"/>
    <w:rsid w:val="006A239D"/>
    <w:rsid w:val="006A7032"/>
    <w:rsid w:val="006A7B35"/>
    <w:rsid w:val="006B1BAA"/>
    <w:rsid w:val="006B38AF"/>
    <w:rsid w:val="006B463C"/>
    <w:rsid w:val="006C0602"/>
    <w:rsid w:val="006C0620"/>
    <w:rsid w:val="006C0B3F"/>
    <w:rsid w:val="006C110D"/>
    <w:rsid w:val="006C125B"/>
    <w:rsid w:val="006C618F"/>
    <w:rsid w:val="006D0183"/>
    <w:rsid w:val="006D087B"/>
    <w:rsid w:val="006D4772"/>
    <w:rsid w:val="006D53E8"/>
    <w:rsid w:val="006D6009"/>
    <w:rsid w:val="006D7FD4"/>
    <w:rsid w:val="006E094D"/>
    <w:rsid w:val="006E1BD1"/>
    <w:rsid w:val="006E2089"/>
    <w:rsid w:val="006E21A2"/>
    <w:rsid w:val="006E44AF"/>
    <w:rsid w:val="006E6EF2"/>
    <w:rsid w:val="006F4075"/>
    <w:rsid w:val="006F6989"/>
    <w:rsid w:val="007008EB"/>
    <w:rsid w:val="00701C54"/>
    <w:rsid w:val="0070528C"/>
    <w:rsid w:val="00705FC5"/>
    <w:rsid w:val="00714251"/>
    <w:rsid w:val="00720474"/>
    <w:rsid w:val="0072110B"/>
    <w:rsid w:val="00722734"/>
    <w:rsid w:val="0072503F"/>
    <w:rsid w:val="00726A53"/>
    <w:rsid w:val="007302DE"/>
    <w:rsid w:val="007347AA"/>
    <w:rsid w:val="007355AA"/>
    <w:rsid w:val="00742260"/>
    <w:rsid w:val="00742E3C"/>
    <w:rsid w:val="007443C1"/>
    <w:rsid w:val="007446B7"/>
    <w:rsid w:val="00750DDB"/>
    <w:rsid w:val="00753C14"/>
    <w:rsid w:val="0075550E"/>
    <w:rsid w:val="007557F0"/>
    <w:rsid w:val="00757A6E"/>
    <w:rsid w:val="007648EF"/>
    <w:rsid w:val="007656BC"/>
    <w:rsid w:val="00771151"/>
    <w:rsid w:val="007718C7"/>
    <w:rsid w:val="00771E47"/>
    <w:rsid w:val="00773740"/>
    <w:rsid w:val="00776C2C"/>
    <w:rsid w:val="007800A1"/>
    <w:rsid w:val="0078763B"/>
    <w:rsid w:val="007905C1"/>
    <w:rsid w:val="00795B50"/>
    <w:rsid w:val="0079746D"/>
    <w:rsid w:val="007A4B24"/>
    <w:rsid w:val="007A7055"/>
    <w:rsid w:val="007C0767"/>
    <w:rsid w:val="007C79BC"/>
    <w:rsid w:val="007C7DC9"/>
    <w:rsid w:val="007D0D8D"/>
    <w:rsid w:val="007D2B7E"/>
    <w:rsid w:val="007D3414"/>
    <w:rsid w:val="007D5C82"/>
    <w:rsid w:val="007D71FB"/>
    <w:rsid w:val="007E23E8"/>
    <w:rsid w:val="007E3DA5"/>
    <w:rsid w:val="007E5A3B"/>
    <w:rsid w:val="007F09BD"/>
    <w:rsid w:val="007F4B9E"/>
    <w:rsid w:val="00800D1C"/>
    <w:rsid w:val="00803581"/>
    <w:rsid w:val="00804803"/>
    <w:rsid w:val="0081790C"/>
    <w:rsid w:val="00824A53"/>
    <w:rsid w:val="00826804"/>
    <w:rsid w:val="00826ABA"/>
    <w:rsid w:val="00830A82"/>
    <w:rsid w:val="00832D76"/>
    <w:rsid w:val="008343CE"/>
    <w:rsid w:val="00843051"/>
    <w:rsid w:val="00846B8C"/>
    <w:rsid w:val="00850396"/>
    <w:rsid w:val="008512AD"/>
    <w:rsid w:val="00851592"/>
    <w:rsid w:val="00856FA0"/>
    <w:rsid w:val="00857437"/>
    <w:rsid w:val="008620C1"/>
    <w:rsid w:val="00864BBA"/>
    <w:rsid w:val="008650FB"/>
    <w:rsid w:val="0087669A"/>
    <w:rsid w:val="00877F12"/>
    <w:rsid w:val="00884005"/>
    <w:rsid w:val="00890C22"/>
    <w:rsid w:val="00891552"/>
    <w:rsid w:val="00893808"/>
    <w:rsid w:val="008956F7"/>
    <w:rsid w:val="00897C2E"/>
    <w:rsid w:val="008A095B"/>
    <w:rsid w:val="008A3556"/>
    <w:rsid w:val="008A636B"/>
    <w:rsid w:val="008A7CB8"/>
    <w:rsid w:val="008B03D0"/>
    <w:rsid w:val="008B0ED0"/>
    <w:rsid w:val="008B2C45"/>
    <w:rsid w:val="008B43F2"/>
    <w:rsid w:val="008B69AC"/>
    <w:rsid w:val="008C121A"/>
    <w:rsid w:val="008C37A3"/>
    <w:rsid w:val="008C4050"/>
    <w:rsid w:val="008C433D"/>
    <w:rsid w:val="008C68DE"/>
    <w:rsid w:val="008D0C03"/>
    <w:rsid w:val="008D14BB"/>
    <w:rsid w:val="008D3FF5"/>
    <w:rsid w:val="008D7073"/>
    <w:rsid w:val="008E0A77"/>
    <w:rsid w:val="008E17A2"/>
    <w:rsid w:val="008E227C"/>
    <w:rsid w:val="008E2B4F"/>
    <w:rsid w:val="008E509F"/>
    <w:rsid w:val="008E5C2B"/>
    <w:rsid w:val="008E6132"/>
    <w:rsid w:val="008F0A54"/>
    <w:rsid w:val="008F52BB"/>
    <w:rsid w:val="008F7023"/>
    <w:rsid w:val="00907130"/>
    <w:rsid w:val="00907B49"/>
    <w:rsid w:val="009110B6"/>
    <w:rsid w:val="00914F99"/>
    <w:rsid w:val="00914FF9"/>
    <w:rsid w:val="00917661"/>
    <w:rsid w:val="00927E43"/>
    <w:rsid w:val="00945968"/>
    <w:rsid w:val="00947CC7"/>
    <w:rsid w:val="00953609"/>
    <w:rsid w:val="009565AC"/>
    <w:rsid w:val="00961772"/>
    <w:rsid w:val="009638CC"/>
    <w:rsid w:val="009641A4"/>
    <w:rsid w:val="009663B8"/>
    <w:rsid w:val="009669B6"/>
    <w:rsid w:val="00967931"/>
    <w:rsid w:val="009708F1"/>
    <w:rsid w:val="009731C7"/>
    <w:rsid w:val="00974E9F"/>
    <w:rsid w:val="00974F59"/>
    <w:rsid w:val="00975664"/>
    <w:rsid w:val="009764E9"/>
    <w:rsid w:val="00982A8C"/>
    <w:rsid w:val="00983285"/>
    <w:rsid w:val="0098544A"/>
    <w:rsid w:val="009868B8"/>
    <w:rsid w:val="009904D7"/>
    <w:rsid w:val="0099241F"/>
    <w:rsid w:val="00994906"/>
    <w:rsid w:val="009A0550"/>
    <w:rsid w:val="009A1155"/>
    <w:rsid w:val="009A11CB"/>
    <w:rsid w:val="009A1ADC"/>
    <w:rsid w:val="009A6DAC"/>
    <w:rsid w:val="009B0232"/>
    <w:rsid w:val="009B2CF7"/>
    <w:rsid w:val="009B4A48"/>
    <w:rsid w:val="009B4A83"/>
    <w:rsid w:val="009B4D16"/>
    <w:rsid w:val="009C22DB"/>
    <w:rsid w:val="009C5A57"/>
    <w:rsid w:val="009C5B9F"/>
    <w:rsid w:val="009C62DC"/>
    <w:rsid w:val="009D0DDE"/>
    <w:rsid w:val="009D5E4C"/>
    <w:rsid w:val="009D6FC8"/>
    <w:rsid w:val="009D7903"/>
    <w:rsid w:val="009E1ED6"/>
    <w:rsid w:val="009E4905"/>
    <w:rsid w:val="009E69AC"/>
    <w:rsid w:val="009F15F4"/>
    <w:rsid w:val="009F1FEA"/>
    <w:rsid w:val="009F2365"/>
    <w:rsid w:val="009F34CA"/>
    <w:rsid w:val="009F57E5"/>
    <w:rsid w:val="00A06A97"/>
    <w:rsid w:val="00A07D87"/>
    <w:rsid w:val="00A1048E"/>
    <w:rsid w:val="00A13BDA"/>
    <w:rsid w:val="00A215A4"/>
    <w:rsid w:val="00A21EA6"/>
    <w:rsid w:val="00A227DE"/>
    <w:rsid w:val="00A274B4"/>
    <w:rsid w:val="00A27897"/>
    <w:rsid w:val="00A43283"/>
    <w:rsid w:val="00A44AFA"/>
    <w:rsid w:val="00A46B86"/>
    <w:rsid w:val="00A528BB"/>
    <w:rsid w:val="00A57188"/>
    <w:rsid w:val="00A57B7B"/>
    <w:rsid w:val="00A61A0E"/>
    <w:rsid w:val="00A62745"/>
    <w:rsid w:val="00A70E0F"/>
    <w:rsid w:val="00A812CC"/>
    <w:rsid w:val="00A815A2"/>
    <w:rsid w:val="00A83801"/>
    <w:rsid w:val="00A878CC"/>
    <w:rsid w:val="00A90949"/>
    <w:rsid w:val="00A92B7E"/>
    <w:rsid w:val="00A947E8"/>
    <w:rsid w:val="00A952F9"/>
    <w:rsid w:val="00AA77F7"/>
    <w:rsid w:val="00AB08FB"/>
    <w:rsid w:val="00AB6725"/>
    <w:rsid w:val="00AB6974"/>
    <w:rsid w:val="00AB7744"/>
    <w:rsid w:val="00AC0AA7"/>
    <w:rsid w:val="00AC469C"/>
    <w:rsid w:val="00AC47F5"/>
    <w:rsid w:val="00AC7075"/>
    <w:rsid w:val="00AC77FF"/>
    <w:rsid w:val="00AD0F12"/>
    <w:rsid w:val="00AD2018"/>
    <w:rsid w:val="00AD5A63"/>
    <w:rsid w:val="00AD6907"/>
    <w:rsid w:val="00AD7141"/>
    <w:rsid w:val="00AE1638"/>
    <w:rsid w:val="00AE4164"/>
    <w:rsid w:val="00AE5F08"/>
    <w:rsid w:val="00AF2CD3"/>
    <w:rsid w:val="00AF2FA1"/>
    <w:rsid w:val="00AF3310"/>
    <w:rsid w:val="00AF5E4F"/>
    <w:rsid w:val="00AF6CD1"/>
    <w:rsid w:val="00B00E31"/>
    <w:rsid w:val="00B02E64"/>
    <w:rsid w:val="00B038F3"/>
    <w:rsid w:val="00B04444"/>
    <w:rsid w:val="00B062F8"/>
    <w:rsid w:val="00B1337E"/>
    <w:rsid w:val="00B16DA7"/>
    <w:rsid w:val="00B23099"/>
    <w:rsid w:val="00B24FC5"/>
    <w:rsid w:val="00B25D20"/>
    <w:rsid w:val="00B318AC"/>
    <w:rsid w:val="00B3410D"/>
    <w:rsid w:val="00B35A5C"/>
    <w:rsid w:val="00B40628"/>
    <w:rsid w:val="00B40CFF"/>
    <w:rsid w:val="00B40E0D"/>
    <w:rsid w:val="00B42A48"/>
    <w:rsid w:val="00B4462C"/>
    <w:rsid w:val="00B45CA6"/>
    <w:rsid w:val="00B472BE"/>
    <w:rsid w:val="00B5124C"/>
    <w:rsid w:val="00B513C3"/>
    <w:rsid w:val="00B51A23"/>
    <w:rsid w:val="00B5710E"/>
    <w:rsid w:val="00B578AE"/>
    <w:rsid w:val="00B57CC5"/>
    <w:rsid w:val="00B606A0"/>
    <w:rsid w:val="00B62132"/>
    <w:rsid w:val="00B64C0A"/>
    <w:rsid w:val="00B6512D"/>
    <w:rsid w:val="00B679BD"/>
    <w:rsid w:val="00B67DA6"/>
    <w:rsid w:val="00B72EBA"/>
    <w:rsid w:val="00B77C92"/>
    <w:rsid w:val="00B84FF7"/>
    <w:rsid w:val="00B9124C"/>
    <w:rsid w:val="00B93482"/>
    <w:rsid w:val="00B9495D"/>
    <w:rsid w:val="00B9573F"/>
    <w:rsid w:val="00B97FCC"/>
    <w:rsid w:val="00BA3C4E"/>
    <w:rsid w:val="00BA48FD"/>
    <w:rsid w:val="00BA4EA2"/>
    <w:rsid w:val="00BA7FC4"/>
    <w:rsid w:val="00BC5D37"/>
    <w:rsid w:val="00BD1F42"/>
    <w:rsid w:val="00BD2886"/>
    <w:rsid w:val="00BE130E"/>
    <w:rsid w:val="00BE1486"/>
    <w:rsid w:val="00BE5E91"/>
    <w:rsid w:val="00BF27CB"/>
    <w:rsid w:val="00BF324B"/>
    <w:rsid w:val="00BF3AFC"/>
    <w:rsid w:val="00C01146"/>
    <w:rsid w:val="00C01992"/>
    <w:rsid w:val="00C03D56"/>
    <w:rsid w:val="00C04B60"/>
    <w:rsid w:val="00C07347"/>
    <w:rsid w:val="00C10E66"/>
    <w:rsid w:val="00C11642"/>
    <w:rsid w:val="00C230B8"/>
    <w:rsid w:val="00C260C3"/>
    <w:rsid w:val="00C26D12"/>
    <w:rsid w:val="00C26DB4"/>
    <w:rsid w:val="00C32AEC"/>
    <w:rsid w:val="00C34ED2"/>
    <w:rsid w:val="00C4333E"/>
    <w:rsid w:val="00C44A23"/>
    <w:rsid w:val="00C5215F"/>
    <w:rsid w:val="00C53273"/>
    <w:rsid w:val="00C55047"/>
    <w:rsid w:val="00C55B18"/>
    <w:rsid w:val="00C5606D"/>
    <w:rsid w:val="00C57494"/>
    <w:rsid w:val="00C607C4"/>
    <w:rsid w:val="00C60F39"/>
    <w:rsid w:val="00C613BA"/>
    <w:rsid w:val="00C62581"/>
    <w:rsid w:val="00C6426C"/>
    <w:rsid w:val="00C666D6"/>
    <w:rsid w:val="00C705E4"/>
    <w:rsid w:val="00C71180"/>
    <w:rsid w:val="00C71801"/>
    <w:rsid w:val="00C7684B"/>
    <w:rsid w:val="00C7726F"/>
    <w:rsid w:val="00C77D8C"/>
    <w:rsid w:val="00C8057D"/>
    <w:rsid w:val="00C80ADF"/>
    <w:rsid w:val="00C81CDE"/>
    <w:rsid w:val="00C831B7"/>
    <w:rsid w:val="00C85E3B"/>
    <w:rsid w:val="00C92BA2"/>
    <w:rsid w:val="00C949AC"/>
    <w:rsid w:val="00CA5948"/>
    <w:rsid w:val="00CB38B0"/>
    <w:rsid w:val="00CB5393"/>
    <w:rsid w:val="00CB6027"/>
    <w:rsid w:val="00CB69B5"/>
    <w:rsid w:val="00CB7C9E"/>
    <w:rsid w:val="00CD00BB"/>
    <w:rsid w:val="00CD1782"/>
    <w:rsid w:val="00CD222F"/>
    <w:rsid w:val="00CD681D"/>
    <w:rsid w:val="00CD782A"/>
    <w:rsid w:val="00CD782D"/>
    <w:rsid w:val="00CE5E98"/>
    <w:rsid w:val="00CE643F"/>
    <w:rsid w:val="00CF15EE"/>
    <w:rsid w:val="00CF764E"/>
    <w:rsid w:val="00CF7965"/>
    <w:rsid w:val="00D109FB"/>
    <w:rsid w:val="00D120A1"/>
    <w:rsid w:val="00D2300D"/>
    <w:rsid w:val="00D23EC5"/>
    <w:rsid w:val="00D248CD"/>
    <w:rsid w:val="00D26F11"/>
    <w:rsid w:val="00D349C6"/>
    <w:rsid w:val="00D35CE1"/>
    <w:rsid w:val="00D37763"/>
    <w:rsid w:val="00D44510"/>
    <w:rsid w:val="00D45243"/>
    <w:rsid w:val="00D51F92"/>
    <w:rsid w:val="00D54400"/>
    <w:rsid w:val="00D554F5"/>
    <w:rsid w:val="00D61ED2"/>
    <w:rsid w:val="00D63248"/>
    <w:rsid w:val="00D65893"/>
    <w:rsid w:val="00D663CC"/>
    <w:rsid w:val="00D70509"/>
    <w:rsid w:val="00D707AD"/>
    <w:rsid w:val="00D70C21"/>
    <w:rsid w:val="00D75F30"/>
    <w:rsid w:val="00D80651"/>
    <w:rsid w:val="00D81A87"/>
    <w:rsid w:val="00D90E21"/>
    <w:rsid w:val="00D91973"/>
    <w:rsid w:val="00D91D6B"/>
    <w:rsid w:val="00D936E2"/>
    <w:rsid w:val="00D9678E"/>
    <w:rsid w:val="00D96B18"/>
    <w:rsid w:val="00D97970"/>
    <w:rsid w:val="00DA106F"/>
    <w:rsid w:val="00DA61AF"/>
    <w:rsid w:val="00DA746B"/>
    <w:rsid w:val="00DB031D"/>
    <w:rsid w:val="00DB1B18"/>
    <w:rsid w:val="00DB1C59"/>
    <w:rsid w:val="00DC1A95"/>
    <w:rsid w:val="00DC6569"/>
    <w:rsid w:val="00DC7A93"/>
    <w:rsid w:val="00DC7B4B"/>
    <w:rsid w:val="00DD0EB4"/>
    <w:rsid w:val="00DD76B9"/>
    <w:rsid w:val="00DE1240"/>
    <w:rsid w:val="00E02426"/>
    <w:rsid w:val="00E0328A"/>
    <w:rsid w:val="00E04AB8"/>
    <w:rsid w:val="00E07086"/>
    <w:rsid w:val="00E1279F"/>
    <w:rsid w:val="00E1381D"/>
    <w:rsid w:val="00E14DD9"/>
    <w:rsid w:val="00E17F8C"/>
    <w:rsid w:val="00E242FA"/>
    <w:rsid w:val="00E275A9"/>
    <w:rsid w:val="00E3208E"/>
    <w:rsid w:val="00E3692F"/>
    <w:rsid w:val="00E36E85"/>
    <w:rsid w:val="00E371AD"/>
    <w:rsid w:val="00E43507"/>
    <w:rsid w:val="00E438D0"/>
    <w:rsid w:val="00E44645"/>
    <w:rsid w:val="00E4697B"/>
    <w:rsid w:val="00E5083B"/>
    <w:rsid w:val="00E509F1"/>
    <w:rsid w:val="00E54882"/>
    <w:rsid w:val="00E5546A"/>
    <w:rsid w:val="00E5644A"/>
    <w:rsid w:val="00E579A4"/>
    <w:rsid w:val="00E7116A"/>
    <w:rsid w:val="00E71913"/>
    <w:rsid w:val="00E74E23"/>
    <w:rsid w:val="00E85756"/>
    <w:rsid w:val="00E86649"/>
    <w:rsid w:val="00E8686C"/>
    <w:rsid w:val="00E94D7B"/>
    <w:rsid w:val="00E976C2"/>
    <w:rsid w:val="00E97A03"/>
    <w:rsid w:val="00EA02A3"/>
    <w:rsid w:val="00EA3F00"/>
    <w:rsid w:val="00EA71E5"/>
    <w:rsid w:val="00EB0FAD"/>
    <w:rsid w:val="00EB1EB5"/>
    <w:rsid w:val="00EB1FD1"/>
    <w:rsid w:val="00EB6E11"/>
    <w:rsid w:val="00EC0648"/>
    <w:rsid w:val="00EC0B16"/>
    <w:rsid w:val="00EC13AB"/>
    <w:rsid w:val="00ED53D3"/>
    <w:rsid w:val="00EE0083"/>
    <w:rsid w:val="00EE100D"/>
    <w:rsid w:val="00EE2050"/>
    <w:rsid w:val="00EE61B3"/>
    <w:rsid w:val="00EE6CC9"/>
    <w:rsid w:val="00EF1A86"/>
    <w:rsid w:val="00EF7DBE"/>
    <w:rsid w:val="00F02033"/>
    <w:rsid w:val="00F02F08"/>
    <w:rsid w:val="00F05B77"/>
    <w:rsid w:val="00F0609F"/>
    <w:rsid w:val="00F072B7"/>
    <w:rsid w:val="00F2032F"/>
    <w:rsid w:val="00F204BC"/>
    <w:rsid w:val="00F20A6F"/>
    <w:rsid w:val="00F2241D"/>
    <w:rsid w:val="00F23B64"/>
    <w:rsid w:val="00F25FEF"/>
    <w:rsid w:val="00F343B7"/>
    <w:rsid w:val="00F345C6"/>
    <w:rsid w:val="00F3530B"/>
    <w:rsid w:val="00F3601B"/>
    <w:rsid w:val="00F36B6D"/>
    <w:rsid w:val="00F40767"/>
    <w:rsid w:val="00F41BC6"/>
    <w:rsid w:val="00F43934"/>
    <w:rsid w:val="00F4535B"/>
    <w:rsid w:val="00F534DD"/>
    <w:rsid w:val="00F54EE8"/>
    <w:rsid w:val="00F6329C"/>
    <w:rsid w:val="00F669FC"/>
    <w:rsid w:val="00F66CA1"/>
    <w:rsid w:val="00F6759D"/>
    <w:rsid w:val="00F72576"/>
    <w:rsid w:val="00F731CE"/>
    <w:rsid w:val="00F746C2"/>
    <w:rsid w:val="00F74E4B"/>
    <w:rsid w:val="00F818EF"/>
    <w:rsid w:val="00F82A64"/>
    <w:rsid w:val="00F82C87"/>
    <w:rsid w:val="00F84112"/>
    <w:rsid w:val="00F85689"/>
    <w:rsid w:val="00F905DF"/>
    <w:rsid w:val="00F9274D"/>
    <w:rsid w:val="00F934DC"/>
    <w:rsid w:val="00F94D4B"/>
    <w:rsid w:val="00FA318A"/>
    <w:rsid w:val="00FA6193"/>
    <w:rsid w:val="00FB09A8"/>
    <w:rsid w:val="00FB2850"/>
    <w:rsid w:val="00FC0088"/>
    <w:rsid w:val="00FC10ED"/>
    <w:rsid w:val="00FC36C5"/>
    <w:rsid w:val="00FC4D79"/>
    <w:rsid w:val="00FD34B8"/>
    <w:rsid w:val="00FE3980"/>
    <w:rsid w:val="00FE4E54"/>
    <w:rsid w:val="00FE6B6E"/>
    <w:rsid w:val="00FF08CA"/>
    <w:rsid w:val="00FF1243"/>
    <w:rsid w:val="00F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E130E"/>
    <w:pPr>
      <w:keepNext/>
      <w:jc w:val="center"/>
      <w:outlineLvl w:val="1"/>
    </w:pPr>
    <w:rPr>
      <w:b/>
      <w:color w:val="000000"/>
      <w:sz w:val="36"/>
      <w:szCs w:val="20"/>
      <w:lang w:val="uk-UA"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711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5A3B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7446B7"/>
    <w:pPr>
      <w:ind w:firstLine="709"/>
      <w:jc w:val="center"/>
    </w:pPr>
    <w:rPr>
      <w:b/>
      <w:sz w:val="28"/>
      <w:szCs w:val="20"/>
      <w:lang w:val="uk-UA"/>
    </w:rPr>
  </w:style>
  <w:style w:type="table" w:styleId="a5">
    <w:name w:val="Table Grid"/>
    <w:basedOn w:val="a1"/>
    <w:rsid w:val="0074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32B2A"/>
  </w:style>
  <w:style w:type="paragraph" w:styleId="a6">
    <w:name w:val="List Paragraph"/>
    <w:basedOn w:val="a"/>
    <w:uiPriority w:val="34"/>
    <w:qFormat/>
    <w:rsid w:val="00A83801"/>
    <w:pPr>
      <w:ind w:left="720"/>
      <w:contextualSpacing/>
    </w:pPr>
  </w:style>
  <w:style w:type="character" w:customStyle="1" w:styleId="shorttext">
    <w:name w:val="short_text"/>
    <w:basedOn w:val="a0"/>
    <w:rsid w:val="00D61ED2"/>
  </w:style>
  <w:style w:type="character" w:customStyle="1" w:styleId="hps">
    <w:name w:val="hps"/>
    <w:basedOn w:val="a0"/>
    <w:rsid w:val="00D61ED2"/>
  </w:style>
  <w:style w:type="character" w:customStyle="1" w:styleId="rvts0">
    <w:name w:val="rvts0"/>
    <w:basedOn w:val="a0"/>
    <w:rsid w:val="00B64C0A"/>
  </w:style>
  <w:style w:type="character" w:customStyle="1" w:styleId="30">
    <w:name w:val="Заголовок 3 Знак"/>
    <w:basedOn w:val="a0"/>
    <w:link w:val="3"/>
    <w:semiHidden/>
    <w:rsid w:val="00C7118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20">
    <w:name w:val="Заголовок 2 Знак"/>
    <w:basedOn w:val="a0"/>
    <w:link w:val="2"/>
    <w:rsid w:val="00AB6974"/>
    <w:rPr>
      <w:b/>
      <w:color w:val="000000"/>
      <w:sz w:val="3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220FU\Desktop\&#1089;&#1090;&#1088;&#1091;&#1082;&#1090;&#1082;&#1088;&#1072;%20&#1074;&#1080;&#1076;&#1072;&#1090;&#1082;&#1110;&#1074;%20&#1076;&#1080;&#1072;&#1075;&#1088;&#1084;&#107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Порівняння</a:t>
            </a:r>
            <a:r>
              <a:rPr lang="ru-RU" sz="1400" baseline="0"/>
              <a:t> надходжень до бюджету міста Чорноморська </a:t>
            </a:r>
          </a:p>
          <a:p>
            <a:pPr>
              <a:defRPr/>
            </a:pPr>
            <a:r>
              <a:rPr lang="ru-RU" sz="1400" baseline="0"/>
              <a:t>за січень - березень, млн.грн.</a:t>
            </a:r>
            <a:endParaRPr lang="ru-RU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млн.грн.</c:v>
                </c:pt>
              </c:strCache>
            </c:strRef>
          </c:tx>
          <c:spPr>
            <a:gradFill flip="none" rotWithShape="1"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1"/>
              <a:tileRect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1 кв.2016р.</c:v>
                </c:pt>
                <c:pt idx="1">
                  <c:v>1 кв.2017р.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127.8</c:v>
                </c:pt>
                <c:pt idx="1">
                  <c:v>183.6</c:v>
                </c:pt>
              </c:numCache>
            </c:numRef>
          </c:val>
        </c:ser>
        <c:axId val="57945472"/>
        <c:axId val="57988224"/>
      </c:barChart>
      <c:catAx>
        <c:axId val="57945472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57988224"/>
        <c:crosses val="autoZero"/>
        <c:auto val="1"/>
        <c:lblAlgn val="ctr"/>
        <c:lblOffset val="100"/>
      </c:catAx>
      <c:valAx>
        <c:axId val="5798822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57945472"/>
        <c:crosses val="autoZero"/>
        <c:crossBetween val="between"/>
      </c:valAx>
    </c:plotArea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надходжень до бюджету міста Чорноморська за січень - березень 2017р., млн.грн.</a:t>
            </a:r>
          </a:p>
        </c:rich>
      </c:tx>
    </c:title>
    <c:view3D>
      <c:rotX val="20"/>
      <c:rotY val="250"/>
      <c:perspective val="30"/>
    </c:view3D>
    <c:plotArea>
      <c:layout>
        <c:manualLayout>
          <c:layoutTarget val="inner"/>
          <c:xMode val="edge"/>
          <c:yMode val="edge"/>
          <c:x val="0.14093127866170943"/>
          <c:y val="0.24068136782047544"/>
          <c:w val="0.8283653176103386"/>
          <c:h val="0.6641263431814612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надходжень до бюджету міста Чорноморська за січень - березень 2017р.</c:v>
                </c:pt>
              </c:strCache>
            </c:strRef>
          </c:tx>
          <c:explosion val="25"/>
          <c:dPt>
            <c:idx val="0"/>
            <c:explosion val="33"/>
          </c:dPt>
          <c:dLbls>
            <c:dLbl>
              <c:idx val="0"/>
              <c:layout>
                <c:manualLayout>
                  <c:x val="4.6124225118573156E-2"/>
                  <c:y val="-8.2545709151363028E-2"/>
                </c:manualLayout>
              </c:layout>
              <c:showVal val="1"/>
              <c:showCatName val="1"/>
              <c:separator>
</c:separator>
            </c:dLbl>
            <c:dLbl>
              <c:idx val="1"/>
              <c:layout>
                <c:manualLayout>
                  <c:x val="7.8342542831531567E-2"/>
                  <c:y val="-2.5484422432228541E-2"/>
                </c:manualLayout>
              </c:layout>
              <c:showVal val="1"/>
              <c:showCatName val="1"/>
              <c:separator>
</c:separator>
            </c:dLbl>
            <c:dLbl>
              <c:idx val="2"/>
              <c:layout>
                <c:manualLayout>
                  <c:x val="-2.3617838790995611E-4"/>
                  <c:y val="0.22183052598141667"/>
                </c:manualLayout>
              </c:layout>
              <c:showVal val="1"/>
              <c:showCatName val="1"/>
              <c:separator>
</c:separator>
            </c:dLbl>
            <c:dLbl>
              <c:idx val="3"/>
              <c:layout>
                <c:manualLayout>
                  <c:x val="-9.3159664502119169E-2"/>
                  <c:y val="7.0320100563300486E-2"/>
                </c:manualLayout>
              </c:layout>
              <c:showVal val="1"/>
              <c:showCatName val="1"/>
              <c:separator>
</c:separator>
            </c:dLbl>
            <c:dLbl>
              <c:idx val="4"/>
              <c:layout>
                <c:manualLayout>
                  <c:x val="9.5969188271179964E-2"/>
                  <c:y val="7.4661522010603429E-2"/>
                </c:manualLayout>
              </c:layout>
              <c:showVal val="1"/>
              <c:showCatName val="1"/>
              <c:separator>
</c:separator>
            </c:dLbl>
            <c:dLbl>
              <c:idx val="5"/>
              <c:layout>
                <c:manualLayout>
                  <c:x val="9.0613213701039946E-2"/>
                  <c:y val="0.10022030651052052"/>
                </c:manualLayout>
              </c:layout>
              <c:showVal val="1"/>
              <c:showCatName val="1"/>
              <c:separator>
</c:separator>
            </c:dLbl>
            <c:dLbl>
              <c:idx val="6"/>
              <c:layout>
                <c:manualLayout>
                  <c:x val="-1.9234145705063231E-2"/>
                  <c:y val="0.15949853496019731"/>
                </c:manualLayout>
              </c:layout>
              <c:showVal val="1"/>
              <c:showCatName val="1"/>
              <c:separator>
</c:separator>
            </c:dLbl>
            <c:dLbl>
              <c:idx val="7"/>
              <c:layout>
                <c:manualLayout>
                  <c:x val="-2.3549661850793505E-2"/>
                  <c:y val="5.3230131462925115E-2"/>
                </c:manualLayout>
              </c:layout>
              <c:showVal val="1"/>
              <c:showCatName val="1"/>
              <c:separator>
</c:separator>
            </c:dLbl>
            <c:dLbl>
              <c:idx val="8"/>
              <c:layout>
                <c:manualLayout>
                  <c:x val="0"/>
                  <c:y val="-0.2594678555515702"/>
                </c:manualLayout>
              </c:layout>
              <c:showVal val="1"/>
              <c:showCatName val="1"/>
              <c:separator>
</c:separator>
            </c:dLbl>
            <c:dLbl>
              <c:idx val="9"/>
              <c:layout>
                <c:manualLayout>
                  <c:x val="0"/>
                  <c:y val="1.3609651132589063E-2"/>
                </c:manualLayout>
              </c:layout>
              <c:showVal val="1"/>
              <c:showCatName val="1"/>
              <c:separator>
</c:separator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  <c:separator>
</c:separator>
            <c:showLeaderLines val="1"/>
          </c:dLbls>
          <c:cat>
            <c:strRef>
              <c:f>Лист1!$A$2:$A$11</c:f>
              <c:strCache>
                <c:ptCount val="10"/>
                <c:pt idx="0">
                  <c:v>Податок на доходи фізичних осіб</c:v>
                </c:pt>
                <c:pt idx="1">
                  <c:v>Плата за землю</c:v>
                </c:pt>
                <c:pt idx="2">
                  <c:v>Соціальні субвенції</c:v>
                </c:pt>
                <c:pt idx="3">
                  <c:v>Освітня субвенція</c:v>
                </c:pt>
                <c:pt idx="4">
                  <c:v>Медична субвенція</c:v>
                </c:pt>
                <c:pt idx="5">
                  <c:v>Єдиний податок</c:v>
                </c:pt>
                <c:pt idx="6">
                  <c:v>Акцизний податок</c:v>
                </c:pt>
                <c:pt idx="7">
                  <c:v>Бюджет розвитку</c:v>
                </c:pt>
                <c:pt idx="8">
                  <c:v>Власні надходження бюджетних установ</c:v>
                </c:pt>
                <c:pt idx="9">
                  <c:v>Інші надходження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57.7</c:v>
                </c:pt>
                <c:pt idx="1">
                  <c:v>31.7</c:v>
                </c:pt>
                <c:pt idx="2">
                  <c:v>36.300000000000004</c:v>
                </c:pt>
                <c:pt idx="3">
                  <c:v>17</c:v>
                </c:pt>
                <c:pt idx="4">
                  <c:v>15.3</c:v>
                </c:pt>
                <c:pt idx="5">
                  <c:v>10.6</c:v>
                </c:pt>
                <c:pt idx="6">
                  <c:v>5.8</c:v>
                </c:pt>
                <c:pt idx="7">
                  <c:v>1.1000000000000001</c:v>
                </c:pt>
                <c:pt idx="8">
                  <c:v>4.5</c:v>
                </c:pt>
                <c:pt idx="9">
                  <c:v>3.5999999999999908</c:v>
                </c:pt>
              </c:numCache>
            </c:numRef>
          </c:val>
        </c:ser>
      </c:pie3D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Порівняння надходжень податку на доходи фізичних осіб </a:t>
            </a:r>
          </a:p>
          <a:p>
            <a:pPr>
              <a:defRPr sz="1200"/>
            </a:pPr>
            <a:r>
              <a:rPr lang="ru-RU" sz="1200"/>
              <a:t>за 1 квартал 2016-2017рр. </a:t>
            </a:r>
          </a:p>
          <a:p>
            <a:pPr>
              <a:defRPr sz="1200"/>
            </a:pPr>
            <a:r>
              <a:rPr lang="ru-RU" sz="1200"/>
              <a:t>до бюджету м.Чорноморська, млн.грн.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Порівняння надходжень податку на доходи фізичних осіб за 1 квартал 2015-2016рр. До бюджекту м.Чорноморська, млн.грн.</c:v>
                </c:pt>
              </c:strCache>
            </c:strRef>
          </c:tx>
          <c:dLbls>
            <c:dLbl>
              <c:idx val="0"/>
              <c:layout>
                <c:manualLayout>
                  <c:x val="4.6296296296296511E-3"/>
                  <c:y val="0.14285714285714357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0.15079365079365079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1 квартал 2016р.</c:v>
                </c:pt>
                <c:pt idx="1">
                  <c:v>1 квартал 2017р.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45.2</c:v>
                </c:pt>
                <c:pt idx="1">
                  <c:v>57.7</c:v>
                </c:pt>
              </c:numCache>
            </c:numRef>
          </c:val>
        </c:ser>
        <c:shape val="box"/>
        <c:axId val="67910272"/>
        <c:axId val="67925120"/>
        <c:axId val="0"/>
      </c:bar3DChart>
      <c:catAx>
        <c:axId val="67910272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67925120"/>
        <c:crosses val="autoZero"/>
        <c:auto val="1"/>
        <c:lblAlgn val="ctr"/>
        <c:lblOffset val="100"/>
      </c:catAx>
      <c:valAx>
        <c:axId val="6792512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67910272"/>
        <c:crosses val="autoZero"/>
        <c:crossBetween val="between"/>
      </c:valAx>
    </c:plotArea>
    <c:plotVisOnly val="1"/>
  </c:chart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Пор</a:t>
            </a:r>
            <a:r>
              <a:rPr lang="uk-UA" sz="1200"/>
              <a:t>івняння</a:t>
            </a:r>
            <a:r>
              <a:rPr lang="uk-UA" sz="1200" baseline="0"/>
              <a:t> н</a:t>
            </a:r>
            <a:r>
              <a:rPr lang="ru-RU" sz="1200"/>
              <a:t>адходженнь плати за землю до бюджету міста Чорноморська за 1 квартал 2016-2017рр., млн.грн.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6.3865778835523523E-2"/>
          <c:y val="0.18686851012310329"/>
          <c:w val="0.91255437121806648"/>
          <c:h val="0.56500472794436052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Земельний податок</c:v>
                </c:pt>
              </c:strCache>
            </c:strRef>
          </c:tx>
          <c:spPr>
            <a:gradFill>
              <a:gsLst>
                <a:gs pos="0">
                  <a:srgbClr val="03D4A8"/>
                </a:gs>
                <a:gs pos="25000">
                  <a:srgbClr val="21D6E0"/>
                </a:gs>
                <a:gs pos="75000">
                  <a:srgbClr val="0087E6"/>
                </a:gs>
                <a:gs pos="100000">
                  <a:srgbClr val="005CBF"/>
                </a:gs>
              </a:gsLst>
              <a:lin ang="13500000" scaled="0"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січень - березень 2016р.</c:v>
                </c:pt>
                <c:pt idx="1">
                  <c:v>січень - березень 2017р.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11.8</c:v>
                </c:pt>
                <c:pt idx="1">
                  <c:v>10.4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Орендна плата</c:v>
                </c:pt>
              </c:strCache>
            </c:strRef>
          </c:tx>
          <c:spPr>
            <a:gradFill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1"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січень - березень 2016р.</c:v>
                </c:pt>
                <c:pt idx="1">
                  <c:v>січень - березень 2017р.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16.3</c:v>
                </c:pt>
                <c:pt idx="1">
                  <c:v>21.3</c:v>
                </c:pt>
              </c:numCache>
            </c:numRef>
          </c:val>
        </c:ser>
        <c:shape val="cylinder"/>
        <c:axId val="69478656"/>
        <c:axId val="69493888"/>
        <c:axId val="0"/>
      </c:bar3DChart>
      <c:catAx>
        <c:axId val="69478656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69493888"/>
        <c:crosses val="autoZero"/>
        <c:auto val="1"/>
        <c:lblAlgn val="ctr"/>
        <c:lblOffset val="100"/>
      </c:catAx>
      <c:valAx>
        <c:axId val="6949388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69478656"/>
        <c:crosses val="autoZero"/>
        <c:crossBetween val="between"/>
      </c:valAx>
    </c:plotArea>
    <c:legend>
      <c:legendPos val="b"/>
      <c:txPr>
        <a:bodyPr/>
        <a:lstStyle/>
        <a:p>
          <a:pPr>
            <a:defRPr sz="1200" b="1"/>
          </a:pPr>
          <a:endParaRPr lang="ru-RU"/>
        </a:p>
      </c:txPr>
    </c:legend>
    <c:plotVisOnly val="1"/>
  </c:chart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видатків за січень-березень 2017 р.  м. Чорноморська, тис. грн. </a:t>
            </a:r>
            <a:endParaRPr lang="ru-RU"/>
          </a:p>
        </c:rich>
      </c:tx>
      <c:layout>
        <c:manualLayout>
          <c:xMode val="edge"/>
          <c:yMode val="edge"/>
          <c:x val="0.12443921145370852"/>
          <c:y val="2.2600980187211274E-3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744050299431438"/>
          <c:y val="0.12013367515107166"/>
          <c:w val="0.67140532874331382"/>
          <c:h val="0.8781796438523447"/>
        </c:manualLayout>
      </c:layout>
      <c:pie3DChart>
        <c:varyColors val="1"/>
        <c:ser>
          <c:idx val="0"/>
          <c:order val="0"/>
          <c:explosion val="25"/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00FFFF"/>
              </a:solidFill>
            </c:spPr>
          </c:dPt>
          <c:dPt>
            <c:idx val="3"/>
            <c:spPr>
              <a:solidFill>
                <a:srgbClr val="CCCC00"/>
              </a:solidFill>
            </c:spPr>
          </c:dPt>
          <c:dPt>
            <c:idx val="4"/>
            <c:spPr>
              <a:solidFill>
                <a:schemeClr val="accent2">
                  <a:lumMod val="40000"/>
                  <a:lumOff val="60000"/>
                </a:schemeClr>
              </a:solidFill>
            </c:spPr>
          </c:dPt>
          <c:dPt>
            <c:idx val="5"/>
            <c:spPr>
              <a:solidFill>
                <a:schemeClr val="accent6">
                  <a:lumMod val="40000"/>
                  <a:lumOff val="60000"/>
                </a:schemeClr>
              </a:solidFill>
            </c:spPr>
          </c:dPt>
          <c:dPt>
            <c:idx val="6"/>
            <c:spPr>
              <a:solidFill>
                <a:srgbClr val="92D050"/>
              </a:solidFill>
            </c:spPr>
          </c:dPt>
          <c:dPt>
            <c:idx val="7"/>
            <c:spPr>
              <a:solidFill>
                <a:srgbClr val="9900FF"/>
              </a:solidFill>
            </c:spPr>
          </c:dPt>
          <c:dPt>
            <c:idx val="8"/>
            <c:spPr>
              <a:solidFill>
                <a:srgbClr val="0000FF"/>
              </a:solidFill>
            </c:spPr>
          </c:dPt>
          <c:dPt>
            <c:idx val="9"/>
            <c:spPr>
              <a:solidFill>
                <a:srgbClr val="FFFF00"/>
              </a:solidFill>
            </c:spPr>
          </c:dPt>
          <c:dPt>
            <c:idx val="11"/>
            <c:spPr>
              <a:solidFill>
                <a:srgbClr val="FF00FF"/>
              </a:solidFill>
            </c:spPr>
          </c:dPt>
          <c:dLbls>
            <c:dLbl>
              <c:idx val="0"/>
              <c:delete val="1"/>
            </c:dLbl>
            <c:dLbl>
              <c:idx val="1"/>
              <c:layout>
                <c:manualLayout>
                  <c:x val="8.6059803272254768E-3"/>
                  <c:y val="-6.9219042720545798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Соцзахист
54 135,9
31,5%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2"/>
              <c:layout>
                <c:manualLayout>
                  <c:x val="4.6593077734442094E-2"/>
                  <c:y val="-0.10231080139166698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Житлово-комунальне господарство
16 672,0
9,7%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3"/>
              <c:layout>
                <c:manualLayout>
                  <c:x val="5.1826886125215722E-2"/>
                  <c:y val="-1.224909897719408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Місцеве самоврядування
7 485,1
4,3%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4"/>
              <c:layout>
                <c:manualLayout>
                  <c:x val="2.4146491034415067E-2"/>
                  <c:y val="3.877555403774199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Інші заходи
3 922,4
2,3%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5"/>
              <c:layout>
                <c:manualLayout>
                  <c:x val="-0.1181301869976536"/>
                  <c:y val="1.634118157488910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Субвенція з місцевого бюджету державному
1 505,0
1,3%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6"/>
              <c:layout>
                <c:manualLayout>
                  <c:x val="-9.626413520739804E-3"/>
                  <c:y val="0.13771915774154544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Освіта 
40 710,6
23,7%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7"/>
              <c:layout>
                <c:manualLayout>
                  <c:x val="-6.5949256342957105E-2"/>
                  <c:y val="9.583869261817899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Фізична культура і спорт
1 210,7
0,07%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8"/>
              <c:layout>
                <c:manualLayout>
                  <c:x val="-4.0473258599684356E-2"/>
                  <c:y val="-4.0863486240032595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Засоби масової інформації
511,2
0,03%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9"/>
              <c:layout>
                <c:manualLayout>
                  <c:x val="2.4464395221625412E-2"/>
                  <c:y val="-0.13589517368914156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Реверсна дотація
8 014,2
4,6%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10"/>
              <c:layout>
                <c:manualLayout>
                  <c:x val="8.1368754139377442E-2"/>
                  <c:y val="-5.193820603661421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Інші видатки
7 220,5
4,2%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11"/>
              <c:layout>
                <c:manualLayout>
                  <c:x val="0.16735202492211837"/>
                  <c:y val="-5.7226013104589579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Культура
5 268,4
3,1%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showVal val="1"/>
            <c:showCatName val="1"/>
            <c:showPercent val="1"/>
            <c:separator>
</c:separator>
            <c:showLeaderLines val="1"/>
          </c:dLbls>
          <c:cat>
            <c:strRef>
              <c:f>Лист1!$B$4:$B$15</c:f>
              <c:strCache>
                <c:ptCount val="12"/>
                <c:pt idx="1">
                  <c:v>Соцзахист</c:v>
                </c:pt>
                <c:pt idx="2">
                  <c:v>Житлово-комунальне господарство</c:v>
                </c:pt>
                <c:pt idx="3">
                  <c:v>Місцеве самоврядування</c:v>
                </c:pt>
                <c:pt idx="4">
                  <c:v>Інші заходи</c:v>
                </c:pt>
                <c:pt idx="5">
                  <c:v>Субвенція з місцевого бюджету державному</c:v>
                </c:pt>
                <c:pt idx="6">
                  <c:v>Освіта </c:v>
                </c:pt>
                <c:pt idx="7">
                  <c:v>Фізична культура і спорт</c:v>
                </c:pt>
                <c:pt idx="8">
                  <c:v>Засоби масової інформації</c:v>
                </c:pt>
                <c:pt idx="9">
                  <c:v>Реверсна дотація</c:v>
                </c:pt>
                <c:pt idx="10">
                  <c:v>Інші видатки</c:v>
                </c:pt>
                <c:pt idx="11">
                  <c:v>Культура</c:v>
                </c:pt>
              </c:strCache>
            </c:strRef>
          </c:cat>
          <c:val>
            <c:numRef>
              <c:f>Лист1!$C$4:$C$15</c:f>
              <c:numCache>
                <c:formatCode>#,##0.0</c:formatCode>
                <c:ptCount val="12"/>
                <c:pt idx="1">
                  <c:v>32369.1</c:v>
                </c:pt>
                <c:pt idx="2">
                  <c:v>8760</c:v>
                </c:pt>
                <c:pt idx="3">
                  <c:v>6325.9</c:v>
                </c:pt>
                <c:pt idx="4">
                  <c:v>2393</c:v>
                </c:pt>
                <c:pt idx="5">
                  <c:v>8082.5</c:v>
                </c:pt>
                <c:pt idx="6">
                  <c:v>35281.599999999999</c:v>
                </c:pt>
                <c:pt idx="7">
                  <c:v>989.5</c:v>
                </c:pt>
                <c:pt idx="8">
                  <c:v>615.5</c:v>
                </c:pt>
                <c:pt idx="9">
                  <c:v>5691</c:v>
                </c:pt>
                <c:pt idx="10">
                  <c:v>5770.7</c:v>
                </c:pt>
                <c:pt idx="11">
                  <c:v>3397.7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plotVisOnly val="1"/>
    <c:dispBlanksAs val="zero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0.37838</cdr:x>
      <cdr:y>0.31022</cdr:y>
    </cdr:from>
    <cdr:to>
      <cdr:x>0.64229</cdr:x>
      <cdr:y>0.43796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 flipV="1">
          <a:off x="2266950" y="809625"/>
          <a:ext cx="1581150" cy="333375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0.38064</cdr:x>
      <cdr:y>0.27012</cdr:y>
    </cdr:from>
    <cdr:to>
      <cdr:x>0.64122</cdr:x>
      <cdr:y>0.38014</cdr:y>
    </cdr:to>
    <cdr:sp macro="" textlink="">
      <cdr:nvSpPr>
        <cdr:cNvPr id="4" name="TextBox 3"/>
        <cdr:cNvSpPr txBox="1"/>
      </cdr:nvSpPr>
      <cdr:spPr>
        <a:xfrm xmlns:a="http://schemas.openxmlformats.org/drawingml/2006/main" rot="20793992">
          <a:off x="2280489" y="704975"/>
          <a:ext cx="1561197" cy="2871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143,7 % (+55,8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0.36458</cdr:x>
      <cdr:y>0.31845</cdr:y>
    </cdr:from>
    <cdr:to>
      <cdr:x>0.61458</cdr:x>
      <cdr:y>0.41964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 flipV="1">
          <a:off x="2000250" y="1019175"/>
          <a:ext cx="1371600" cy="323850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0.34045</cdr:x>
      <cdr:y>0.26738</cdr:y>
    </cdr:from>
    <cdr:to>
      <cdr:x>0.64236</cdr:x>
      <cdr:y>0.34935</cdr:y>
    </cdr:to>
    <cdr:sp macro="" textlink="">
      <cdr:nvSpPr>
        <cdr:cNvPr id="4" name="TextBox 1"/>
        <cdr:cNvSpPr txBox="1"/>
      </cdr:nvSpPr>
      <cdr:spPr>
        <a:xfrm xmlns:a="http://schemas.openxmlformats.org/drawingml/2006/main" rot="20793992">
          <a:off x="1867833" y="855719"/>
          <a:ext cx="1656410" cy="2623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127,7 % (+12,5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0.31833</cdr:x>
      <cdr:y>0.27273</cdr:y>
    </cdr:from>
    <cdr:to>
      <cdr:x>0.3955</cdr:x>
      <cdr:y>0.3771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885950" y="771525"/>
          <a:ext cx="457200" cy="2952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28,1</a:t>
          </a:r>
          <a:endParaRPr lang="ru-RU" sz="1400" b="1"/>
        </a:p>
      </cdr:txBody>
    </cdr:sp>
  </cdr:relSizeAnchor>
  <cdr:relSizeAnchor xmlns:cdr="http://schemas.openxmlformats.org/drawingml/2006/chartDrawing">
    <cdr:from>
      <cdr:x>0.63505</cdr:x>
      <cdr:y>0.21242</cdr:y>
    </cdr:from>
    <cdr:to>
      <cdr:x>0.7299</cdr:x>
      <cdr:y>0.32026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3762375" y="619124"/>
          <a:ext cx="561954" cy="3143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31,7</a:t>
          </a:r>
          <a:endParaRPr lang="ru-RU" sz="1400" b="1"/>
        </a:p>
      </cdr:txBody>
    </cdr:sp>
  </cdr:relSizeAnchor>
  <cdr:relSizeAnchor xmlns:cdr="http://schemas.openxmlformats.org/drawingml/2006/chartDrawing">
    <cdr:from>
      <cdr:x>0.42765</cdr:x>
      <cdr:y>0.23856</cdr:y>
    </cdr:from>
    <cdr:to>
      <cdr:x>0.64469</cdr:x>
      <cdr:y>0.35621</cdr:y>
    </cdr:to>
    <cdr:sp macro="" textlink="">
      <cdr:nvSpPr>
        <cdr:cNvPr id="4" name="Прямая со стрелкой 3"/>
        <cdr:cNvSpPr/>
      </cdr:nvSpPr>
      <cdr:spPr>
        <a:xfrm xmlns:a="http://schemas.openxmlformats.org/drawingml/2006/main" flipV="1">
          <a:off x="2533650" y="695325"/>
          <a:ext cx="1285874" cy="342900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25400" cap="flat" cmpd="dbl" algn="ctr">
          <a:solidFill>
            <a:srgbClr val="FF0000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0.39766</cdr:x>
      <cdr:y>0.21051</cdr:y>
    </cdr:from>
    <cdr:to>
      <cdr:x>0.65776</cdr:x>
      <cdr:y>0.29555</cdr:y>
    </cdr:to>
    <cdr:sp macro="" textlink="">
      <cdr:nvSpPr>
        <cdr:cNvPr id="5" name="TextBox 1"/>
        <cdr:cNvSpPr txBox="1"/>
      </cdr:nvSpPr>
      <cdr:spPr>
        <a:xfrm xmlns:a="http://schemas.openxmlformats.org/drawingml/2006/main" rot="20761991">
          <a:off x="2355986" y="613568"/>
          <a:ext cx="1540920" cy="24786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112,8 % (+ 3,6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7D66A-06AB-4711-8775-AB6AEC57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1980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13245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Администратор</cp:lastModifiedBy>
  <cp:revision>21</cp:revision>
  <cp:lastPrinted>2017-04-13T13:08:00Z</cp:lastPrinted>
  <dcterms:created xsi:type="dcterms:W3CDTF">2017-04-06T08:56:00Z</dcterms:created>
  <dcterms:modified xsi:type="dcterms:W3CDTF">2017-04-13T14:01:00Z</dcterms:modified>
</cp:coreProperties>
</file>