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E4D" w:rsidRDefault="001B2490" w:rsidP="004E512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24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Пояснення до планових показників </w:t>
      </w:r>
    </w:p>
    <w:p w:rsidR="004E5127" w:rsidRDefault="004E5127" w:rsidP="004E512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бюджету м. Іллічівська на 2015 рік</w:t>
      </w:r>
    </w:p>
    <w:p w:rsidR="004E5127" w:rsidRPr="004E5127" w:rsidRDefault="004E5127" w:rsidP="004E512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Фінансовий ресурс бюджету м. Іллічівська на 2015 рік сформовано з урахуванням </w:t>
      </w:r>
      <w:r w:rsidR="000F1E4D">
        <w:rPr>
          <w:rFonts w:ascii="Times New Roman" w:hAnsi="Times New Roman" w:cs="Times New Roman"/>
          <w:sz w:val="24"/>
          <w:szCs w:val="24"/>
          <w:lang w:val="uk-UA"/>
        </w:rPr>
        <w:t>змін, внесених до Податкового і Бюджетного кодексів України та інших законодавчих актів, що стосуються місцевих бюджетів та міжбюджетних відносин, Основних напрямів бюджетної політики, схвалених розпорядженням Кабінету Міністрів України від 16 квітня 2014 року № 385-р та динаміки показників доходної та видаткової частини бюджету                   м. Іллічівська за 2013-2014 роки.</w:t>
      </w:r>
    </w:p>
    <w:p w:rsidR="004E5127" w:rsidRDefault="004E5127" w:rsidP="004E512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 Д</w:t>
      </w:r>
      <w:r w:rsidR="001B2490" w:rsidRPr="001B2490">
        <w:rPr>
          <w:rFonts w:ascii="Times New Roman" w:hAnsi="Times New Roman" w:cs="Times New Roman"/>
          <w:b/>
          <w:sz w:val="28"/>
          <w:szCs w:val="28"/>
          <w:lang w:val="uk-UA"/>
        </w:rPr>
        <w:t>оходн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1B2490" w:rsidRPr="001B24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частини бюджету</w:t>
      </w:r>
    </w:p>
    <w:p w:rsidR="001B2490" w:rsidRDefault="003E7B35" w:rsidP="004E512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6AC1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1B2490" w:rsidRPr="006755AF">
        <w:rPr>
          <w:rFonts w:ascii="Times New Roman" w:hAnsi="Times New Roman" w:cs="Times New Roman"/>
          <w:b/>
          <w:sz w:val="24"/>
          <w:szCs w:val="24"/>
          <w:lang w:val="uk-UA"/>
        </w:rPr>
        <w:t>Доходна частина бюджету м. Іллічівська</w:t>
      </w:r>
      <w:r w:rsidR="001B2490">
        <w:rPr>
          <w:rFonts w:ascii="Times New Roman" w:hAnsi="Times New Roman" w:cs="Times New Roman"/>
          <w:sz w:val="24"/>
          <w:szCs w:val="24"/>
          <w:lang w:val="uk-UA"/>
        </w:rPr>
        <w:t xml:space="preserve"> сформована з урахуванням </w:t>
      </w:r>
      <w:r w:rsidR="006755AF">
        <w:rPr>
          <w:rFonts w:ascii="Times New Roman" w:hAnsi="Times New Roman" w:cs="Times New Roman"/>
          <w:sz w:val="24"/>
          <w:szCs w:val="24"/>
          <w:lang w:val="uk-UA"/>
        </w:rPr>
        <w:t xml:space="preserve">реформ Бюджетного та </w:t>
      </w:r>
      <w:r w:rsidR="00DA6AC1">
        <w:rPr>
          <w:rFonts w:ascii="Times New Roman" w:hAnsi="Times New Roman" w:cs="Times New Roman"/>
          <w:sz w:val="24"/>
          <w:szCs w:val="24"/>
          <w:lang w:val="uk-UA"/>
        </w:rPr>
        <w:t xml:space="preserve">Податкового </w:t>
      </w:r>
      <w:r w:rsidR="006755AF">
        <w:rPr>
          <w:rFonts w:ascii="Times New Roman" w:hAnsi="Times New Roman" w:cs="Times New Roman"/>
          <w:sz w:val="24"/>
          <w:szCs w:val="24"/>
          <w:lang w:val="uk-UA"/>
        </w:rPr>
        <w:t>законодавства</w:t>
      </w:r>
      <w:r w:rsidR="00851B01">
        <w:rPr>
          <w:rFonts w:ascii="Times New Roman" w:hAnsi="Times New Roman" w:cs="Times New Roman"/>
          <w:sz w:val="24"/>
          <w:szCs w:val="24"/>
          <w:lang w:val="uk-UA"/>
        </w:rPr>
        <w:t xml:space="preserve"> та становить </w:t>
      </w:r>
      <w:r w:rsidR="00137A73" w:rsidRPr="006755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278 207,8 </w:t>
      </w:r>
      <w:r w:rsidR="00851B01" w:rsidRPr="006755AF">
        <w:rPr>
          <w:rFonts w:ascii="Times New Roman" w:hAnsi="Times New Roman" w:cs="Times New Roman"/>
          <w:b/>
          <w:sz w:val="24"/>
          <w:szCs w:val="24"/>
          <w:lang w:val="uk-UA"/>
        </w:rPr>
        <w:t>тис.</w:t>
      </w:r>
      <w:r w:rsidR="00137A73" w:rsidRPr="006755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51B01" w:rsidRPr="006755AF">
        <w:rPr>
          <w:rFonts w:ascii="Times New Roman" w:hAnsi="Times New Roman" w:cs="Times New Roman"/>
          <w:b/>
          <w:sz w:val="24"/>
          <w:szCs w:val="24"/>
          <w:lang w:val="uk-UA"/>
        </w:rPr>
        <w:t>грн</w:t>
      </w:r>
      <w:r w:rsidR="00DA6AC1" w:rsidRPr="006755AF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137A7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3397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</w:t>
      </w:r>
      <w:r w:rsidR="00137A73" w:rsidRPr="001E6989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53397F" w:rsidRPr="001E6989">
        <w:rPr>
          <w:rFonts w:ascii="Times New Roman" w:hAnsi="Times New Roman" w:cs="Times New Roman"/>
          <w:sz w:val="24"/>
          <w:szCs w:val="24"/>
          <w:lang w:val="uk-UA"/>
        </w:rPr>
        <w:t xml:space="preserve">+ </w:t>
      </w:r>
      <w:r w:rsidR="000A2516" w:rsidRPr="001E6989">
        <w:rPr>
          <w:rFonts w:ascii="Times New Roman" w:hAnsi="Times New Roman" w:cs="Times New Roman"/>
          <w:sz w:val="24"/>
          <w:szCs w:val="24"/>
          <w:lang w:val="uk-UA"/>
        </w:rPr>
        <w:t xml:space="preserve">41 </w:t>
      </w:r>
      <w:r w:rsidR="004657EF">
        <w:rPr>
          <w:rFonts w:ascii="Times New Roman" w:hAnsi="Times New Roman" w:cs="Times New Roman"/>
          <w:sz w:val="24"/>
          <w:szCs w:val="24"/>
          <w:lang w:val="uk-UA"/>
        </w:rPr>
        <w:t>074,4</w:t>
      </w:r>
      <w:r w:rsidR="0053397F" w:rsidRPr="001E6989">
        <w:rPr>
          <w:rFonts w:ascii="Times New Roman" w:hAnsi="Times New Roman" w:cs="Times New Roman"/>
          <w:sz w:val="24"/>
          <w:szCs w:val="24"/>
          <w:lang w:val="uk-UA"/>
        </w:rPr>
        <w:t xml:space="preserve"> тис. грн. до показника 2014 року (без субвенцій), темп росту 11</w:t>
      </w:r>
      <w:r w:rsidR="000A2516" w:rsidRPr="001E6989">
        <w:rPr>
          <w:rFonts w:ascii="Times New Roman" w:hAnsi="Times New Roman" w:cs="Times New Roman"/>
          <w:sz w:val="24"/>
          <w:szCs w:val="24"/>
          <w:lang w:val="uk-UA"/>
        </w:rPr>
        <w:t>7,</w:t>
      </w:r>
      <w:r w:rsidR="004657EF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53397F" w:rsidRPr="001E6989">
        <w:rPr>
          <w:rFonts w:ascii="Times New Roman" w:hAnsi="Times New Roman" w:cs="Times New Roman"/>
          <w:sz w:val="24"/>
          <w:szCs w:val="24"/>
          <w:lang w:val="uk-UA"/>
        </w:rPr>
        <w:t xml:space="preserve"> %).</w:t>
      </w:r>
      <w:r w:rsidR="00137A7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F1E4D" w:rsidRPr="0053397F" w:rsidRDefault="000F1E4D" w:rsidP="004E512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3397F" w:rsidRPr="0053397F" w:rsidRDefault="0053397F" w:rsidP="00137A7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397F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6755AF">
        <w:rPr>
          <w:rFonts w:ascii="Times New Roman" w:hAnsi="Times New Roman" w:cs="Times New Roman"/>
          <w:b/>
          <w:sz w:val="24"/>
          <w:szCs w:val="24"/>
          <w:lang w:val="uk-UA"/>
        </w:rPr>
        <w:t>Загальний фонд</w:t>
      </w:r>
      <w:r w:rsidRPr="0053397F">
        <w:rPr>
          <w:rFonts w:ascii="Times New Roman" w:hAnsi="Times New Roman" w:cs="Times New Roman"/>
          <w:sz w:val="24"/>
          <w:szCs w:val="24"/>
          <w:lang w:val="uk-UA"/>
        </w:rPr>
        <w:t xml:space="preserve"> бюджету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розраховано в розмірі </w:t>
      </w:r>
      <w:r w:rsidRPr="006755AF">
        <w:rPr>
          <w:rFonts w:ascii="Times New Roman" w:hAnsi="Times New Roman" w:cs="Times New Roman"/>
          <w:b/>
          <w:sz w:val="24"/>
          <w:szCs w:val="24"/>
          <w:lang w:val="uk-UA"/>
        </w:rPr>
        <w:t>272 362,1 тис.</w:t>
      </w:r>
      <w:r w:rsidR="00DA08AF" w:rsidRPr="006755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1E6989">
        <w:rPr>
          <w:rFonts w:ascii="Times New Roman" w:hAnsi="Times New Roman" w:cs="Times New Roman"/>
          <w:b/>
          <w:sz w:val="24"/>
          <w:szCs w:val="24"/>
          <w:lang w:val="uk-UA"/>
        </w:rPr>
        <w:t>грн.</w:t>
      </w:r>
      <w:r w:rsidRPr="001E69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657E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</w:t>
      </w:r>
      <w:r w:rsidRPr="001E6989">
        <w:rPr>
          <w:rFonts w:ascii="Times New Roman" w:hAnsi="Times New Roman" w:cs="Times New Roman"/>
          <w:sz w:val="24"/>
          <w:szCs w:val="24"/>
          <w:lang w:val="uk-UA"/>
        </w:rPr>
        <w:t xml:space="preserve">(+ </w:t>
      </w:r>
      <w:r w:rsidR="004657EF">
        <w:rPr>
          <w:rFonts w:ascii="Times New Roman" w:hAnsi="Times New Roman" w:cs="Times New Roman"/>
          <w:sz w:val="24"/>
          <w:szCs w:val="24"/>
          <w:lang w:val="uk-UA"/>
        </w:rPr>
        <w:t>60 968,3</w:t>
      </w:r>
      <w:r w:rsidR="007B53B8" w:rsidRPr="001E6989">
        <w:rPr>
          <w:rFonts w:ascii="Times New Roman" w:hAnsi="Times New Roman" w:cs="Times New Roman"/>
          <w:sz w:val="24"/>
          <w:szCs w:val="24"/>
          <w:lang w:val="uk-UA"/>
        </w:rPr>
        <w:t xml:space="preserve"> тис.</w:t>
      </w:r>
      <w:r w:rsidR="00DA08AF" w:rsidRPr="001E69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B53B8" w:rsidRPr="001E6989">
        <w:rPr>
          <w:rFonts w:ascii="Times New Roman" w:hAnsi="Times New Roman" w:cs="Times New Roman"/>
          <w:sz w:val="24"/>
          <w:szCs w:val="24"/>
          <w:lang w:val="uk-UA"/>
        </w:rPr>
        <w:t>грн. до 2014 року (без субвенцій), темп росту 12</w:t>
      </w:r>
      <w:r w:rsidR="004657EF">
        <w:rPr>
          <w:rFonts w:ascii="Times New Roman" w:hAnsi="Times New Roman" w:cs="Times New Roman"/>
          <w:sz w:val="24"/>
          <w:szCs w:val="24"/>
          <w:lang w:val="uk-UA"/>
        </w:rPr>
        <w:t>8,8</w:t>
      </w:r>
      <w:r w:rsidR="007B53B8" w:rsidRPr="001E6989">
        <w:rPr>
          <w:rFonts w:ascii="Times New Roman" w:hAnsi="Times New Roman" w:cs="Times New Roman"/>
          <w:sz w:val="24"/>
          <w:szCs w:val="24"/>
          <w:lang w:val="uk-UA"/>
        </w:rPr>
        <w:t xml:space="preserve"> %)</w:t>
      </w:r>
      <w:r w:rsidRPr="001E6989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B53B8" w:rsidRDefault="007B53B8" w:rsidP="00137A7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Основними бюджетоутворюючими податками </w:t>
      </w:r>
      <w:r w:rsidRPr="006755AF">
        <w:rPr>
          <w:rFonts w:ascii="Times New Roman" w:hAnsi="Times New Roman" w:cs="Times New Roman"/>
          <w:sz w:val="24"/>
          <w:szCs w:val="24"/>
          <w:lang w:val="uk-UA"/>
        </w:rPr>
        <w:t>є податок на доходи фізичних осіб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      111 400,0 тис.</w:t>
      </w:r>
      <w:r w:rsidR="00DA08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грн. (40,9 % від доходів загального фонду) та податок на майно (в частині плати за землю) - 72 400,0 тис.</w:t>
      </w:r>
      <w:r w:rsidR="00DA08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грн. (26,6 %).</w:t>
      </w:r>
    </w:p>
    <w:p w:rsidR="007B53B8" w:rsidRDefault="007B53B8" w:rsidP="00137A7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DA08AF">
        <w:rPr>
          <w:rFonts w:ascii="Times New Roman" w:hAnsi="Times New Roman" w:cs="Times New Roman"/>
          <w:sz w:val="24"/>
          <w:szCs w:val="24"/>
          <w:lang w:val="uk-UA"/>
        </w:rPr>
        <w:t xml:space="preserve">На 2015 рік </w:t>
      </w:r>
      <w:r w:rsidR="00DA08AF" w:rsidRPr="006755AF">
        <w:rPr>
          <w:rFonts w:ascii="Times New Roman" w:hAnsi="Times New Roman" w:cs="Times New Roman"/>
          <w:b/>
          <w:sz w:val="24"/>
          <w:szCs w:val="24"/>
          <w:lang w:val="uk-UA"/>
        </w:rPr>
        <w:t>податок на доходи фізичних осіб</w:t>
      </w:r>
      <w:r w:rsidR="00DA08AF">
        <w:rPr>
          <w:rFonts w:ascii="Times New Roman" w:hAnsi="Times New Roman" w:cs="Times New Roman"/>
          <w:sz w:val="24"/>
          <w:szCs w:val="24"/>
          <w:lang w:val="uk-UA"/>
        </w:rPr>
        <w:t xml:space="preserve"> заплановано </w:t>
      </w:r>
      <w:r w:rsidR="006C2F81">
        <w:rPr>
          <w:rFonts w:ascii="Times New Roman" w:hAnsi="Times New Roman" w:cs="Times New Roman"/>
          <w:sz w:val="24"/>
          <w:szCs w:val="24"/>
          <w:lang w:val="uk-UA"/>
        </w:rPr>
        <w:t>в розмірі</w:t>
      </w:r>
      <w:r w:rsidR="00DA08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55A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</w:t>
      </w:r>
      <w:r w:rsidR="00DA08AF" w:rsidRPr="006755AF">
        <w:rPr>
          <w:rFonts w:ascii="Times New Roman" w:hAnsi="Times New Roman" w:cs="Times New Roman"/>
          <w:b/>
          <w:sz w:val="24"/>
          <w:szCs w:val="24"/>
          <w:lang w:val="uk-UA"/>
        </w:rPr>
        <w:t>111 400,0 тис.</w:t>
      </w:r>
      <w:r w:rsidR="006755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A08AF" w:rsidRPr="006755AF">
        <w:rPr>
          <w:rFonts w:ascii="Times New Roman" w:hAnsi="Times New Roman" w:cs="Times New Roman"/>
          <w:b/>
          <w:sz w:val="24"/>
          <w:szCs w:val="24"/>
          <w:lang w:val="uk-UA"/>
        </w:rPr>
        <w:t>грн.</w:t>
      </w:r>
      <w:r w:rsidR="00DA08AF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Закону України від 28.12.2014р. № 79-VIII "Про внесення змін до Бюджетного кодексу України щодо реформи міжбюджетних відносин" до загального фонду місцевих бюджетів належить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60 % </w:t>
      </w:r>
      <w:r w:rsidR="00DA08AF">
        <w:rPr>
          <w:rFonts w:ascii="Times New Roman" w:hAnsi="Times New Roman" w:cs="Times New Roman"/>
          <w:sz w:val="24"/>
          <w:szCs w:val="24"/>
          <w:lang w:val="uk-UA"/>
        </w:rPr>
        <w:t xml:space="preserve">податку на доходи фізичних осіб, </w:t>
      </w:r>
      <w:r w:rsidR="00DA08AF" w:rsidRPr="001E6989">
        <w:rPr>
          <w:rFonts w:ascii="Times New Roman" w:hAnsi="Times New Roman" w:cs="Times New Roman"/>
          <w:sz w:val="24"/>
          <w:szCs w:val="24"/>
          <w:lang w:val="uk-UA"/>
        </w:rPr>
        <w:t xml:space="preserve">що сплачується згідно з Податковим кодексом на відповідній території </w:t>
      </w:r>
      <w:r w:rsidRPr="001E6989">
        <w:rPr>
          <w:rFonts w:ascii="Times New Roman" w:hAnsi="Times New Roman" w:cs="Times New Roman"/>
          <w:sz w:val="24"/>
          <w:szCs w:val="24"/>
          <w:lang w:val="uk-UA"/>
        </w:rPr>
        <w:t xml:space="preserve">(в 2014 році було 75%). Фактичне зменшення надходжень ПДФО до рівня 2014 року становить </w:t>
      </w:r>
      <w:r w:rsidR="00DA08AF" w:rsidRPr="001E698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26 0</w:t>
      </w:r>
      <w:r w:rsidR="004657EF">
        <w:rPr>
          <w:rFonts w:ascii="Times New Roman" w:hAnsi="Times New Roman" w:cs="Times New Roman"/>
          <w:sz w:val="24"/>
          <w:szCs w:val="24"/>
          <w:lang w:val="uk-UA"/>
        </w:rPr>
        <w:t>72,0</w:t>
      </w:r>
      <w:r w:rsidR="00DA08AF" w:rsidRPr="001E6989">
        <w:rPr>
          <w:rFonts w:ascii="Times New Roman" w:hAnsi="Times New Roman" w:cs="Times New Roman"/>
          <w:sz w:val="24"/>
          <w:szCs w:val="24"/>
          <w:lang w:val="uk-UA"/>
        </w:rPr>
        <w:t xml:space="preserve"> тис. грн. </w:t>
      </w:r>
      <w:r w:rsidR="006C2F81" w:rsidRPr="001E6989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proofErr w:type="spellStart"/>
      <w:r w:rsidR="006C2F81" w:rsidRPr="001E6989">
        <w:rPr>
          <w:rFonts w:ascii="Times New Roman" w:hAnsi="Times New Roman" w:cs="Times New Roman"/>
          <w:sz w:val="24"/>
          <w:szCs w:val="24"/>
          <w:lang w:val="uk-UA"/>
        </w:rPr>
        <w:t>співставних</w:t>
      </w:r>
      <w:proofErr w:type="spellEnd"/>
      <w:r w:rsidR="006C2F81" w:rsidRPr="001E6989">
        <w:rPr>
          <w:rFonts w:ascii="Times New Roman" w:hAnsi="Times New Roman" w:cs="Times New Roman"/>
          <w:sz w:val="24"/>
          <w:szCs w:val="24"/>
          <w:lang w:val="uk-UA"/>
        </w:rPr>
        <w:t xml:space="preserve"> умовах темп росту становить </w:t>
      </w:r>
      <w:r w:rsidR="00EA4968" w:rsidRPr="001E6989">
        <w:rPr>
          <w:rFonts w:ascii="Times New Roman" w:hAnsi="Times New Roman" w:cs="Times New Roman"/>
          <w:sz w:val="24"/>
          <w:szCs w:val="24"/>
          <w:lang w:val="uk-UA"/>
        </w:rPr>
        <w:t>101,3 %.</w:t>
      </w:r>
    </w:p>
    <w:p w:rsidR="00226D29" w:rsidRDefault="00226D29" w:rsidP="00226D2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26D29">
        <w:rPr>
          <w:rFonts w:ascii="Times New Roman" w:hAnsi="Times New Roman" w:cs="Times New Roman"/>
          <w:sz w:val="24"/>
          <w:szCs w:val="24"/>
          <w:lang w:val="uk-UA"/>
        </w:rPr>
        <w:t xml:space="preserve">     Відповідно до Закону України від 28.12.2014р. № 71-VIII "Про внесення змін до Податкового кодексу України та деяких законодавчих актів України щодо податкової реформи",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 місцевих податків віднесено податок на майно та єдиний податок. Податок на майно складається з трьох складових :</w:t>
      </w:r>
    </w:p>
    <w:p w:rsidR="00226D29" w:rsidRDefault="00226D29" w:rsidP="00226D2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плата за землю;</w:t>
      </w:r>
    </w:p>
    <w:p w:rsidR="00226D29" w:rsidRDefault="00226D29" w:rsidP="00226D2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транспортний податок;</w:t>
      </w:r>
    </w:p>
    <w:p w:rsidR="00226D29" w:rsidRDefault="00226D29" w:rsidP="00226D2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податок на нерухоме майно, відмінне від земельної ділянки.</w:t>
      </w:r>
    </w:p>
    <w:p w:rsidR="001230D0" w:rsidRDefault="00226D29" w:rsidP="00226D2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Індекс споживчих цін </w:t>
      </w:r>
      <w:r w:rsidR="001230D0">
        <w:rPr>
          <w:rFonts w:ascii="Times New Roman" w:hAnsi="Times New Roman" w:cs="Times New Roman"/>
          <w:sz w:val="24"/>
          <w:szCs w:val="24"/>
          <w:lang w:val="uk-UA"/>
        </w:rPr>
        <w:t xml:space="preserve">(І)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 січень - листопад 2014 р. становить 121,2 %. </w:t>
      </w:r>
      <w:r w:rsidR="001230D0">
        <w:rPr>
          <w:rFonts w:ascii="Times New Roman" w:hAnsi="Times New Roman" w:cs="Times New Roman"/>
          <w:sz w:val="24"/>
          <w:szCs w:val="24"/>
          <w:lang w:val="uk-UA"/>
        </w:rPr>
        <w:t>Відповідно до п.289.2 Податкового кодексу України (зі змінами) коефіцієнт індексації нормативної грошової оцінки земель (</w:t>
      </w:r>
      <w:proofErr w:type="spellStart"/>
      <w:r w:rsidR="001230D0">
        <w:rPr>
          <w:rFonts w:ascii="Times New Roman" w:hAnsi="Times New Roman" w:cs="Times New Roman"/>
          <w:sz w:val="24"/>
          <w:szCs w:val="24"/>
          <w:lang w:val="uk-UA"/>
        </w:rPr>
        <w:t>Кі</w:t>
      </w:r>
      <w:proofErr w:type="spellEnd"/>
      <w:r w:rsidR="001230D0">
        <w:rPr>
          <w:rFonts w:ascii="Times New Roman" w:hAnsi="Times New Roman" w:cs="Times New Roman"/>
          <w:sz w:val="24"/>
          <w:szCs w:val="24"/>
          <w:lang w:val="uk-UA"/>
        </w:rPr>
        <w:t>) становитиме (</w:t>
      </w:r>
      <w:proofErr w:type="spellStart"/>
      <w:r w:rsidR="001230D0">
        <w:rPr>
          <w:rFonts w:ascii="Times New Roman" w:hAnsi="Times New Roman" w:cs="Times New Roman"/>
          <w:sz w:val="24"/>
          <w:szCs w:val="24"/>
          <w:lang w:val="uk-UA"/>
        </w:rPr>
        <w:t>розрахунково</w:t>
      </w:r>
      <w:proofErr w:type="spellEnd"/>
      <w:r w:rsidR="001230D0">
        <w:rPr>
          <w:rFonts w:ascii="Times New Roman" w:hAnsi="Times New Roman" w:cs="Times New Roman"/>
          <w:sz w:val="24"/>
          <w:szCs w:val="24"/>
          <w:lang w:val="uk-UA"/>
        </w:rPr>
        <w:t xml:space="preserve">) : </w:t>
      </w:r>
    </w:p>
    <w:p w:rsidR="00226D29" w:rsidRDefault="001230D0" w:rsidP="00226D2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= І : 100 = 121,2 : 100 = 1,212</w:t>
      </w:r>
    </w:p>
    <w:p w:rsidR="001230D0" w:rsidRDefault="001230D0" w:rsidP="00226D2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6755AF">
        <w:rPr>
          <w:rFonts w:ascii="Times New Roman" w:hAnsi="Times New Roman" w:cs="Times New Roman"/>
          <w:b/>
          <w:sz w:val="24"/>
          <w:szCs w:val="24"/>
          <w:lang w:val="uk-UA"/>
        </w:rPr>
        <w:t>Плата за землю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0AFA">
        <w:rPr>
          <w:rFonts w:ascii="Times New Roman" w:hAnsi="Times New Roman" w:cs="Times New Roman"/>
          <w:sz w:val="24"/>
          <w:szCs w:val="24"/>
          <w:lang w:val="uk-UA"/>
        </w:rPr>
        <w:t>розрахована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рівні </w:t>
      </w:r>
      <w:r w:rsidRPr="006755AF">
        <w:rPr>
          <w:rFonts w:ascii="Times New Roman" w:hAnsi="Times New Roman" w:cs="Times New Roman"/>
          <w:b/>
          <w:sz w:val="24"/>
          <w:szCs w:val="24"/>
          <w:lang w:val="uk-UA"/>
        </w:rPr>
        <w:t>72 400,0 тис.</w:t>
      </w:r>
      <w:r w:rsidR="00370AF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755AF">
        <w:rPr>
          <w:rFonts w:ascii="Times New Roman" w:hAnsi="Times New Roman" w:cs="Times New Roman"/>
          <w:b/>
          <w:sz w:val="24"/>
          <w:szCs w:val="24"/>
          <w:lang w:val="uk-UA"/>
        </w:rPr>
        <w:t>грн.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70AFA">
        <w:rPr>
          <w:rFonts w:ascii="Times New Roman" w:hAnsi="Times New Roman" w:cs="Times New Roman"/>
          <w:sz w:val="24"/>
          <w:szCs w:val="24"/>
          <w:lang w:val="uk-UA"/>
        </w:rPr>
        <w:t xml:space="preserve">(виходячи із фактичних надходжень 2014 року в розмірі 67 </w:t>
      </w:r>
      <w:r w:rsidR="00370AFA" w:rsidRPr="00370AFA">
        <w:rPr>
          <w:rFonts w:ascii="Times New Roman" w:hAnsi="Times New Roman" w:cs="Times New Roman"/>
          <w:sz w:val="24"/>
          <w:szCs w:val="24"/>
          <w:lang w:val="uk-UA"/>
        </w:rPr>
        <w:t>462,1</w:t>
      </w:r>
      <w:r w:rsidRPr="00370AFA">
        <w:rPr>
          <w:rFonts w:ascii="Times New Roman" w:hAnsi="Times New Roman" w:cs="Times New Roman"/>
          <w:sz w:val="24"/>
          <w:szCs w:val="24"/>
          <w:lang w:val="uk-UA"/>
        </w:rPr>
        <w:t xml:space="preserve"> тис.</w:t>
      </w:r>
      <w:r w:rsidR="00370AF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70AFA">
        <w:rPr>
          <w:rFonts w:ascii="Times New Roman" w:hAnsi="Times New Roman" w:cs="Times New Roman"/>
          <w:sz w:val="24"/>
          <w:szCs w:val="24"/>
          <w:lang w:val="uk-UA"/>
        </w:rPr>
        <w:t>грн.</w:t>
      </w:r>
      <w:r w:rsidR="00370AFA" w:rsidRPr="00370AFA">
        <w:rPr>
          <w:rFonts w:ascii="Times New Roman" w:hAnsi="Times New Roman" w:cs="Times New Roman"/>
          <w:sz w:val="24"/>
          <w:szCs w:val="24"/>
          <w:lang w:val="uk-UA"/>
        </w:rPr>
        <w:t xml:space="preserve">  із застосуванн</w:t>
      </w:r>
      <w:r w:rsidR="00370AFA">
        <w:rPr>
          <w:rFonts w:ascii="Times New Roman" w:hAnsi="Times New Roman" w:cs="Times New Roman"/>
          <w:sz w:val="24"/>
          <w:szCs w:val="24"/>
          <w:lang w:val="uk-UA"/>
        </w:rPr>
        <w:t xml:space="preserve">ям </w:t>
      </w:r>
      <w:r w:rsidR="004221C7">
        <w:rPr>
          <w:rFonts w:ascii="Times New Roman" w:hAnsi="Times New Roman" w:cs="Times New Roman"/>
          <w:sz w:val="24"/>
          <w:szCs w:val="24"/>
          <w:lang w:val="uk-UA"/>
        </w:rPr>
        <w:t>коефіцієнт</w:t>
      </w:r>
      <w:r w:rsidR="00370AFA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4221C7">
        <w:rPr>
          <w:rFonts w:ascii="Times New Roman" w:hAnsi="Times New Roman" w:cs="Times New Roman"/>
          <w:sz w:val="24"/>
          <w:szCs w:val="24"/>
          <w:lang w:val="uk-UA"/>
        </w:rPr>
        <w:t xml:space="preserve"> індексації нормативної грошової оцінки земель</w:t>
      </w:r>
      <w:r w:rsidR="00370AFA">
        <w:rPr>
          <w:rFonts w:ascii="Times New Roman" w:hAnsi="Times New Roman" w:cs="Times New Roman"/>
          <w:sz w:val="24"/>
          <w:szCs w:val="24"/>
          <w:lang w:val="uk-UA"/>
        </w:rPr>
        <w:t xml:space="preserve"> та з урахуванням </w:t>
      </w:r>
      <w:r w:rsidR="004221C7">
        <w:rPr>
          <w:rFonts w:ascii="Times New Roman" w:hAnsi="Times New Roman" w:cs="Times New Roman"/>
          <w:sz w:val="24"/>
          <w:szCs w:val="24"/>
          <w:lang w:val="uk-UA"/>
        </w:rPr>
        <w:t xml:space="preserve"> можлив</w:t>
      </w:r>
      <w:r w:rsidR="00370AFA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4221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221C7">
        <w:rPr>
          <w:rFonts w:ascii="Times New Roman" w:hAnsi="Times New Roman" w:cs="Times New Roman"/>
          <w:sz w:val="24"/>
          <w:szCs w:val="24"/>
          <w:lang w:val="uk-UA"/>
        </w:rPr>
        <w:t>роз</w:t>
      </w:r>
      <w:r w:rsidR="00370AFA">
        <w:rPr>
          <w:rFonts w:ascii="Times New Roman" w:hAnsi="Times New Roman" w:cs="Times New Roman"/>
          <w:sz w:val="24"/>
          <w:szCs w:val="24"/>
          <w:lang w:val="uk-UA"/>
        </w:rPr>
        <w:t>торгнення</w:t>
      </w:r>
      <w:proofErr w:type="spellEnd"/>
      <w:r w:rsidR="00370AF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221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221C7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договорів оренди окремими підприємствами через економічну неефективність використання земельних ділянок та додаткове податкове навантаження). </w:t>
      </w:r>
      <w:r w:rsidR="006755AF">
        <w:rPr>
          <w:rFonts w:ascii="Times New Roman" w:hAnsi="Times New Roman" w:cs="Times New Roman"/>
          <w:sz w:val="24"/>
          <w:szCs w:val="24"/>
          <w:lang w:val="uk-UA"/>
        </w:rPr>
        <w:t>Темп росту становить 10</w:t>
      </w:r>
      <w:r w:rsidR="004657EF">
        <w:rPr>
          <w:rFonts w:ascii="Times New Roman" w:hAnsi="Times New Roman" w:cs="Times New Roman"/>
          <w:sz w:val="24"/>
          <w:szCs w:val="24"/>
          <w:lang w:val="uk-UA"/>
        </w:rPr>
        <w:t>7,3</w:t>
      </w:r>
      <w:r w:rsidR="006755AF">
        <w:rPr>
          <w:rFonts w:ascii="Times New Roman" w:hAnsi="Times New Roman" w:cs="Times New Roman"/>
          <w:sz w:val="24"/>
          <w:szCs w:val="24"/>
          <w:lang w:val="uk-UA"/>
        </w:rPr>
        <w:t xml:space="preserve"> %.</w:t>
      </w:r>
    </w:p>
    <w:p w:rsidR="00574EC1" w:rsidRDefault="00C402AA" w:rsidP="00226D2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221C7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E1144F" w:rsidRPr="006755AF">
        <w:rPr>
          <w:rFonts w:ascii="Times New Roman" w:hAnsi="Times New Roman" w:cs="Times New Roman"/>
          <w:b/>
          <w:sz w:val="24"/>
          <w:szCs w:val="24"/>
          <w:lang w:val="uk-UA"/>
        </w:rPr>
        <w:t>Транспортний податок</w:t>
      </w:r>
      <w:r w:rsidR="00E114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0AFA">
        <w:rPr>
          <w:rFonts w:ascii="Times New Roman" w:hAnsi="Times New Roman" w:cs="Times New Roman"/>
          <w:sz w:val="24"/>
          <w:szCs w:val="24"/>
          <w:lang w:val="uk-UA"/>
        </w:rPr>
        <w:t>розраховано</w:t>
      </w:r>
      <w:r w:rsidR="00E1144F">
        <w:rPr>
          <w:rFonts w:ascii="Times New Roman" w:hAnsi="Times New Roman" w:cs="Times New Roman"/>
          <w:sz w:val="24"/>
          <w:szCs w:val="24"/>
          <w:lang w:val="uk-UA"/>
        </w:rPr>
        <w:t xml:space="preserve"> на рівні 500,0 тис. грн. </w:t>
      </w:r>
      <w:r w:rsidR="00574EC1">
        <w:rPr>
          <w:rFonts w:ascii="Times New Roman" w:hAnsi="Times New Roman" w:cs="Times New Roman"/>
          <w:sz w:val="24"/>
          <w:szCs w:val="24"/>
          <w:lang w:val="uk-UA"/>
        </w:rPr>
        <w:t>Відповідно змін до Податкового кодексу д</w:t>
      </w:r>
      <w:r w:rsidR="00E1144F">
        <w:rPr>
          <w:rFonts w:ascii="Times New Roman" w:hAnsi="Times New Roman" w:cs="Times New Roman"/>
          <w:sz w:val="24"/>
          <w:szCs w:val="24"/>
          <w:lang w:val="uk-UA"/>
        </w:rPr>
        <w:t xml:space="preserve">аний податок </w:t>
      </w:r>
      <w:r w:rsidR="00574EC1">
        <w:rPr>
          <w:rFonts w:ascii="Times New Roman" w:hAnsi="Times New Roman" w:cs="Times New Roman"/>
          <w:sz w:val="24"/>
          <w:szCs w:val="24"/>
          <w:lang w:val="uk-UA"/>
        </w:rPr>
        <w:t xml:space="preserve">запроваджується вперше </w:t>
      </w:r>
      <w:r w:rsidR="00E1144F">
        <w:rPr>
          <w:rFonts w:ascii="Times New Roman" w:hAnsi="Times New Roman" w:cs="Times New Roman"/>
          <w:sz w:val="24"/>
          <w:szCs w:val="24"/>
          <w:lang w:val="uk-UA"/>
        </w:rPr>
        <w:t>з 01.01.2015р. та сплачується юридичними та фізичними особами, які мають у власності легкові автомобілі із строком використання до 5 років та об`ємом циліндрів двигуна понад 3 000 куб.</w:t>
      </w:r>
      <w:r w:rsidR="006755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1144F">
        <w:rPr>
          <w:rFonts w:ascii="Times New Roman" w:hAnsi="Times New Roman" w:cs="Times New Roman"/>
          <w:sz w:val="24"/>
          <w:szCs w:val="24"/>
          <w:lang w:val="uk-UA"/>
        </w:rPr>
        <w:t xml:space="preserve">см. Податок становить 25 000 грн. за рік за кожен вищевказаний легковий автомобіль. </w:t>
      </w:r>
    </w:p>
    <w:p w:rsidR="004221C7" w:rsidRPr="00E1144F" w:rsidRDefault="00574EC1" w:rsidP="00226D2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6755AF">
        <w:rPr>
          <w:rFonts w:ascii="Times New Roman" w:hAnsi="Times New Roman" w:cs="Times New Roman"/>
          <w:sz w:val="24"/>
          <w:szCs w:val="24"/>
          <w:lang w:val="uk-UA"/>
        </w:rPr>
        <w:t xml:space="preserve">Приблизна кількість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такого </w:t>
      </w:r>
      <w:r w:rsidR="006755AF">
        <w:rPr>
          <w:rFonts w:ascii="Times New Roman" w:hAnsi="Times New Roman" w:cs="Times New Roman"/>
          <w:sz w:val="24"/>
          <w:szCs w:val="24"/>
          <w:lang w:val="uk-UA"/>
        </w:rPr>
        <w:t xml:space="preserve">легкового автотранспорту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складає </w:t>
      </w:r>
      <w:r w:rsidR="006755AF">
        <w:rPr>
          <w:rFonts w:ascii="Times New Roman" w:hAnsi="Times New Roman" w:cs="Times New Roman"/>
          <w:sz w:val="24"/>
          <w:szCs w:val="24"/>
          <w:lang w:val="uk-UA"/>
        </w:rPr>
        <w:t xml:space="preserve"> 85 одиниць. До планового розрахунку на 2015 рік включено надходження від можливих 20 платників даного податку.</w:t>
      </w:r>
    </w:p>
    <w:p w:rsidR="00226D29" w:rsidRDefault="006755AF" w:rsidP="00226D2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F36DF9">
        <w:rPr>
          <w:rFonts w:ascii="Times New Roman" w:hAnsi="Times New Roman" w:cs="Times New Roman"/>
          <w:b/>
          <w:sz w:val="24"/>
          <w:szCs w:val="24"/>
          <w:lang w:val="uk-UA"/>
        </w:rPr>
        <w:t>Податок на нерухоме майно, відмінне від земельної ділянки</w:t>
      </w:r>
      <w:r>
        <w:rPr>
          <w:rFonts w:ascii="Times New Roman" w:hAnsi="Times New Roman" w:cs="Times New Roman"/>
          <w:sz w:val="24"/>
          <w:szCs w:val="24"/>
          <w:lang w:val="uk-UA"/>
        </w:rPr>
        <w:t>, заплановано в розмірі 210,0 тис.</w:t>
      </w:r>
      <w:r w:rsidR="0072077E">
        <w:rPr>
          <w:rFonts w:ascii="Times New Roman" w:hAnsi="Times New Roman" w:cs="Times New Roman"/>
          <w:sz w:val="24"/>
          <w:szCs w:val="24"/>
          <w:lang w:val="uk-UA"/>
        </w:rPr>
        <w:t xml:space="preserve"> г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рн. (в 4 рази більше фактичних надходжень 2014 року). Даний податок перенесено з бюджету розвитку (спеціальний фонд) до загального фонду. Крім того, з 2015 року </w:t>
      </w:r>
      <w:r w:rsidR="005B6C2B">
        <w:rPr>
          <w:rFonts w:ascii="Times New Roman" w:hAnsi="Times New Roman" w:cs="Times New Roman"/>
          <w:sz w:val="24"/>
          <w:szCs w:val="24"/>
          <w:lang w:val="uk-UA"/>
        </w:rPr>
        <w:t xml:space="preserve">розширюється база оподаткування, а саме, крім житлової нерухомості буде оподатковуватися нежитлова нерухомість. </w:t>
      </w:r>
    </w:p>
    <w:p w:rsidR="00F36DF9" w:rsidRDefault="00F36DF9" w:rsidP="00226D2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DF7E60">
        <w:rPr>
          <w:rFonts w:ascii="Times New Roman" w:hAnsi="Times New Roman" w:cs="Times New Roman"/>
          <w:b/>
          <w:sz w:val="24"/>
          <w:szCs w:val="24"/>
          <w:lang w:val="uk-UA"/>
        </w:rPr>
        <w:t>Податок на прибуток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заплановано в розмірі 1 765,0 тис.</w:t>
      </w:r>
      <w:r w:rsidR="004115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грн., що на 402,</w:t>
      </w:r>
      <w:r w:rsidR="004657EF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тис.</w:t>
      </w:r>
      <w:r w:rsidR="004115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грн., або майже на 30 % більше надходжень у 2014 році за рахунок отримання прибутку </w:t>
      </w:r>
      <w:r w:rsidR="00DA710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"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Іллічівськ</w:t>
      </w:r>
      <w:r w:rsidR="00DA710F">
        <w:rPr>
          <w:rFonts w:ascii="Times New Roman" w:hAnsi="Times New Roman" w:cs="Times New Roman"/>
          <w:sz w:val="24"/>
          <w:szCs w:val="24"/>
          <w:lang w:val="uk-UA"/>
        </w:rPr>
        <w:t>тепоенерго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" в розмірі </w:t>
      </w:r>
      <w:r w:rsidR="00DA710F">
        <w:rPr>
          <w:rFonts w:ascii="Times New Roman" w:hAnsi="Times New Roman" w:cs="Times New Roman"/>
          <w:sz w:val="24"/>
          <w:szCs w:val="24"/>
          <w:lang w:val="uk-UA"/>
        </w:rPr>
        <w:t xml:space="preserve">9 805,3 </w:t>
      </w:r>
      <w:proofErr w:type="spellStart"/>
      <w:r w:rsidR="00DA710F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DA710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36DF9" w:rsidRDefault="00F36DF9" w:rsidP="00226D2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DF7E60">
        <w:rPr>
          <w:rFonts w:ascii="Times New Roman" w:hAnsi="Times New Roman" w:cs="Times New Roman"/>
          <w:b/>
          <w:sz w:val="24"/>
          <w:szCs w:val="24"/>
          <w:lang w:val="uk-UA"/>
        </w:rPr>
        <w:t>Авансові внески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заплановано в розмірі 400,0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що на 940,8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або </w:t>
      </w:r>
      <w:r w:rsidR="00DA710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70 % менше рівня надходжень 2014 року за </w:t>
      </w:r>
      <w:r w:rsidRPr="00240FB4">
        <w:rPr>
          <w:rFonts w:ascii="Times New Roman" w:hAnsi="Times New Roman" w:cs="Times New Roman"/>
          <w:sz w:val="24"/>
          <w:szCs w:val="24"/>
          <w:lang w:val="uk-UA"/>
        </w:rPr>
        <w:t xml:space="preserve">рахунок того, що за результатами 2013 року          </w:t>
      </w:r>
      <w:proofErr w:type="spellStart"/>
      <w:r w:rsidRPr="00240FB4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240FB4">
        <w:rPr>
          <w:rFonts w:ascii="Times New Roman" w:hAnsi="Times New Roman" w:cs="Times New Roman"/>
          <w:sz w:val="24"/>
          <w:szCs w:val="24"/>
          <w:lang w:val="uk-UA"/>
        </w:rPr>
        <w:t xml:space="preserve"> "МУЖКГ" було отримано прибуток в розмірі </w:t>
      </w:r>
      <w:r w:rsidR="00240FB4" w:rsidRPr="00240FB4">
        <w:rPr>
          <w:rFonts w:ascii="Times New Roman" w:hAnsi="Times New Roman" w:cs="Times New Roman"/>
          <w:sz w:val="24"/>
          <w:szCs w:val="24"/>
          <w:lang w:val="uk-UA"/>
        </w:rPr>
        <w:t xml:space="preserve">7 310,0 </w:t>
      </w:r>
      <w:proofErr w:type="spellStart"/>
      <w:r w:rsidR="00240FB4" w:rsidRPr="00240FB4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240FB4" w:rsidRPr="00240FB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240FB4">
        <w:rPr>
          <w:rFonts w:ascii="Times New Roman" w:hAnsi="Times New Roman" w:cs="Times New Roman"/>
          <w:sz w:val="24"/>
          <w:szCs w:val="24"/>
          <w:lang w:val="uk-UA"/>
        </w:rPr>
        <w:t xml:space="preserve"> За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нормами Податкового кодексу України підприємством протягом 2014 року сплачувались авансові внески з податку на прибуток в розмірі 126,</w:t>
      </w:r>
      <w:r w:rsidR="00240FB4">
        <w:rPr>
          <w:rFonts w:ascii="Times New Roman" w:hAnsi="Times New Roman" w:cs="Times New Roman"/>
          <w:sz w:val="24"/>
          <w:szCs w:val="24"/>
          <w:lang w:val="uk-UA"/>
        </w:rPr>
        <w:t>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щомісячно. За результатами 2014 року </w:t>
      </w:r>
      <w:r w:rsidR="004657E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"МУЖКГ" отримано </w:t>
      </w:r>
      <w:r w:rsidR="00240FB4">
        <w:rPr>
          <w:rFonts w:ascii="Times New Roman" w:hAnsi="Times New Roman" w:cs="Times New Roman"/>
          <w:sz w:val="24"/>
          <w:szCs w:val="24"/>
          <w:lang w:val="uk-UA"/>
        </w:rPr>
        <w:t xml:space="preserve">прибуток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розмірі </w:t>
      </w:r>
      <w:r w:rsidR="00240FB4">
        <w:rPr>
          <w:rFonts w:ascii="Times New Roman" w:hAnsi="Times New Roman" w:cs="Times New Roman"/>
          <w:sz w:val="24"/>
          <w:szCs w:val="24"/>
          <w:lang w:val="uk-UA"/>
        </w:rPr>
        <w:t xml:space="preserve">1 490,0 </w:t>
      </w:r>
      <w:proofErr w:type="spellStart"/>
      <w:r w:rsidR="00240FB4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240FB4">
        <w:rPr>
          <w:rFonts w:ascii="Times New Roman" w:hAnsi="Times New Roman" w:cs="Times New Roman"/>
          <w:sz w:val="24"/>
          <w:szCs w:val="24"/>
          <w:lang w:val="uk-UA"/>
        </w:rPr>
        <w:t>. Очікується, що в 2015 році в рахунок сплати податку на прибуток і авансових внесків  з податку на прибуток буде зараховано переплату, яка станом на 01.01.2015р.</w:t>
      </w:r>
      <w:r w:rsidR="004657EF">
        <w:rPr>
          <w:rFonts w:ascii="Times New Roman" w:hAnsi="Times New Roman" w:cs="Times New Roman"/>
          <w:sz w:val="24"/>
          <w:szCs w:val="24"/>
          <w:lang w:val="uk-UA"/>
        </w:rPr>
        <w:t xml:space="preserve">, за розрахунками підприємства, складатиме </w:t>
      </w:r>
      <w:r w:rsidR="00240FB4">
        <w:rPr>
          <w:rFonts w:ascii="Times New Roman" w:hAnsi="Times New Roman" w:cs="Times New Roman"/>
          <w:sz w:val="24"/>
          <w:szCs w:val="24"/>
          <w:lang w:val="uk-UA"/>
        </w:rPr>
        <w:t xml:space="preserve">1 333,4 </w:t>
      </w:r>
      <w:proofErr w:type="spellStart"/>
      <w:r w:rsidR="00240FB4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240FB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F7E60" w:rsidRDefault="00DF7E60" w:rsidP="00226D2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DF7E60">
        <w:rPr>
          <w:rFonts w:ascii="Times New Roman" w:hAnsi="Times New Roman" w:cs="Times New Roman"/>
          <w:b/>
          <w:sz w:val="24"/>
          <w:szCs w:val="24"/>
          <w:lang w:val="uk-UA"/>
        </w:rPr>
        <w:t>Частину чистого прибутку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що вилучатиметься до бюджету, запланована в розмірі 12,0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., що на 13,</w:t>
      </w:r>
      <w:r w:rsidR="004657EF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або на 52 %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меньше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рівня 2014 року. В 2015 році в умовах складної економічної ситуації комунальні підприємства міста в основному прогнозують збиткову діяльність.</w:t>
      </w:r>
    </w:p>
    <w:p w:rsidR="0041150D" w:rsidRPr="0041150D" w:rsidRDefault="0041150D" w:rsidP="0041150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  <w:r w:rsidRPr="0041150D">
        <w:rPr>
          <w:rFonts w:ascii="Times New Roman" w:hAnsi="Times New Roman" w:cs="Times New Roman"/>
          <w:sz w:val="24"/>
          <w:szCs w:val="24"/>
          <w:lang w:val="uk-UA"/>
        </w:rPr>
        <w:t>Податок на прибуток підприємств та організацій, що належать до комунальної власності, авансові внески з податку на прибуток та частина прибутку комунальних підприємств, що вилучається до бюджету заплановано на підставі розрахунків, наданих комунальними підприємствами міста.</w:t>
      </w:r>
    </w:p>
    <w:p w:rsidR="001445D8" w:rsidRDefault="00DF7E60" w:rsidP="001445D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До структури надходжень загального фонду в 2015 році віднесено </w:t>
      </w:r>
      <w:r w:rsidRPr="001445D8">
        <w:rPr>
          <w:rFonts w:ascii="Times New Roman" w:hAnsi="Times New Roman" w:cs="Times New Roman"/>
          <w:b/>
          <w:sz w:val="24"/>
          <w:szCs w:val="24"/>
          <w:lang w:val="uk-UA"/>
        </w:rPr>
        <w:t>єдиний податок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>. В 2014 році даний податок зараховувався до бюджету розвитку спеціального фонду. Єдиний податок заплановано в розмірі 14 500,0 тис.</w:t>
      </w:r>
      <w:r w:rsidR="00240F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грн., що майже на рівні 2014 року (100,2 %). Відповідно до змін, внесених до Податкового кодексу України, в 2015 році будуть </w:t>
      </w: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знижені ставки єдиного податку для платників третьої групи, а саме з 3 % (</w:t>
      </w:r>
      <w:r w:rsidR="001445D8">
        <w:rPr>
          <w:rFonts w:ascii="Times New Roman" w:hAnsi="Times New Roman" w:cs="Times New Roman"/>
          <w:sz w:val="24"/>
          <w:szCs w:val="24"/>
          <w:lang w:val="uk-UA"/>
        </w:rPr>
        <w:t xml:space="preserve">у разі сплати </w:t>
      </w:r>
      <w:r>
        <w:rPr>
          <w:rFonts w:ascii="Times New Roman" w:hAnsi="Times New Roman" w:cs="Times New Roman"/>
          <w:sz w:val="24"/>
          <w:szCs w:val="24"/>
          <w:lang w:val="uk-UA"/>
        </w:rPr>
        <w:t>ПДВ) та 5 % (</w:t>
      </w:r>
      <w:r w:rsidR="001445D8">
        <w:rPr>
          <w:rFonts w:ascii="Times New Roman" w:hAnsi="Times New Roman" w:cs="Times New Roman"/>
          <w:sz w:val="24"/>
          <w:szCs w:val="24"/>
          <w:lang w:val="uk-UA"/>
        </w:rPr>
        <w:t xml:space="preserve">у разі включення ПДВ до складу єдиного податку) </w:t>
      </w:r>
      <w:r>
        <w:rPr>
          <w:rFonts w:ascii="Times New Roman" w:hAnsi="Times New Roman" w:cs="Times New Roman"/>
          <w:sz w:val="24"/>
          <w:szCs w:val="24"/>
          <w:lang w:val="uk-UA"/>
        </w:rPr>
        <w:t>на 2</w:t>
      </w:r>
      <w:r w:rsidR="00240F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% та 4 % </w:t>
      </w:r>
      <w:r w:rsidR="001445D8">
        <w:rPr>
          <w:rFonts w:ascii="Times New Roman" w:hAnsi="Times New Roman" w:cs="Times New Roman"/>
          <w:sz w:val="24"/>
          <w:szCs w:val="24"/>
          <w:lang w:val="uk-UA"/>
        </w:rPr>
        <w:t>відповідно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Крім того, збільшено </w:t>
      </w:r>
      <w:r w:rsidR="001445D8">
        <w:rPr>
          <w:rFonts w:ascii="Times New Roman" w:hAnsi="Times New Roman" w:cs="Times New Roman"/>
          <w:sz w:val="24"/>
          <w:szCs w:val="24"/>
          <w:lang w:val="uk-UA"/>
        </w:rPr>
        <w:t>межу граничного доходу, яка дає право застосовувати спрощену систему оподаткування :</w:t>
      </w:r>
    </w:p>
    <w:p w:rsidR="00851B01" w:rsidRDefault="001445D8" w:rsidP="001445D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851B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для платників першої групи - зі 150,0 тис.</w:t>
      </w:r>
      <w:r w:rsidR="00240F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грн. до 300,0 тис.</w:t>
      </w:r>
      <w:r w:rsidR="00240F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грн.;</w:t>
      </w:r>
    </w:p>
    <w:p w:rsidR="001445D8" w:rsidRDefault="001445D8" w:rsidP="001445D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для платників другої групи - з 1,0 млн.</w:t>
      </w:r>
      <w:r w:rsidR="00240F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грн. до 1,5 млн.</w:t>
      </w:r>
      <w:r w:rsidR="00240F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грн.;</w:t>
      </w:r>
    </w:p>
    <w:p w:rsidR="001445D8" w:rsidRDefault="001445D8" w:rsidP="001445D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для платників третьої групи (об`єднано фізичних осіб - підприємців та юридичних осіб) - з 3,0 млн.</w:t>
      </w:r>
      <w:r w:rsidR="00240F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грн. для фізичних осіб - підприємців  та 5,0 млн.</w:t>
      </w:r>
      <w:r w:rsidR="00240F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грн. для юридичних осіб                          до 20,0 млн.</w:t>
      </w:r>
      <w:r w:rsidR="00240F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грн. для всіх. </w:t>
      </w:r>
    </w:p>
    <w:p w:rsidR="001445D8" w:rsidRPr="00B505E1" w:rsidRDefault="001445D8" w:rsidP="001445D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В</w:t>
      </w:r>
      <w:r w:rsidR="00231B14">
        <w:rPr>
          <w:rFonts w:ascii="Times New Roman" w:hAnsi="Times New Roman" w:cs="Times New Roman"/>
          <w:sz w:val="24"/>
          <w:szCs w:val="24"/>
          <w:lang w:val="uk-UA"/>
        </w:rPr>
        <w:t xml:space="preserve">раховуючи те, що зміни у податковому законодавстві сприятимуть </w:t>
      </w:r>
      <w:r>
        <w:rPr>
          <w:rFonts w:ascii="Times New Roman" w:hAnsi="Times New Roman" w:cs="Times New Roman"/>
          <w:sz w:val="24"/>
          <w:szCs w:val="24"/>
          <w:lang w:val="uk-UA"/>
        </w:rPr>
        <w:t>розширенн</w:t>
      </w:r>
      <w:r w:rsidR="00231B14">
        <w:rPr>
          <w:rFonts w:ascii="Times New Roman" w:hAnsi="Times New Roman" w:cs="Times New Roman"/>
          <w:sz w:val="24"/>
          <w:szCs w:val="24"/>
          <w:lang w:val="uk-UA"/>
        </w:rPr>
        <w:t>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кола платників </w:t>
      </w:r>
      <w:r w:rsidR="00231B14">
        <w:rPr>
          <w:rFonts w:ascii="Times New Roman" w:hAnsi="Times New Roman" w:cs="Times New Roman"/>
          <w:sz w:val="24"/>
          <w:szCs w:val="24"/>
          <w:lang w:val="uk-UA"/>
        </w:rPr>
        <w:t xml:space="preserve">єдиного податку, зменшення надходжень єдиного податку не </w:t>
      </w:r>
      <w:r w:rsidR="00231B14" w:rsidRPr="00231B14">
        <w:rPr>
          <w:rFonts w:ascii="Times New Roman" w:hAnsi="Times New Roman" w:cs="Times New Roman"/>
          <w:sz w:val="24"/>
          <w:szCs w:val="24"/>
          <w:lang w:val="uk-UA"/>
        </w:rPr>
        <w:t>прогнозується.</w:t>
      </w:r>
      <w:r w:rsidR="00B505E1" w:rsidRPr="00231B14">
        <w:rPr>
          <w:rFonts w:ascii="Times New Roman" w:hAnsi="Times New Roman" w:cs="Times New Roman"/>
          <w:sz w:val="24"/>
          <w:szCs w:val="24"/>
          <w:lang w:val="uk-UA"/>
        </w:rPr>
        <w:t xml:space="preserve"> Станом на 01.12.2014р. в ДПІ у </w:t>
      </w:r>
      <w:proofErr w:type="spellStart"/>
      <w:r w:rsidR="00B505E1" w:rsidRPr="00231B14">
        <w:rPr>
          <w:rFonts w:ascii="Times New Roman" w:hAnsi="Times New Roman" w:cs="Times New Roman"/>
          <w:sz w:val="24"/>
          <w:szCs w:val="24"/>
          <w:lang w:val="uk-UA"/>
        </w:rPr>
        <w:t>м.Іллічівську</w:t>
      </w:r>
      <w:proofErr w:type="spellEnd"/>
      <w:r w:rsidR="00B505E1" w:rsidRPr="00231B14">
        <w:rPr>
          <w:rFonts w:ascii="Times New Roman" w:hAnsi="Times New Roman" w:cs="Times New Roman"/>
          <w:sz w:val="24"/>
          <w:szCs w:val="24"/>
          <w:lang w:val="uk-UA"/>
        </w:rPr>
        <w:t xml:space="preserve"> зареєстровано</w:t>
      </w:r>
      <w:r w:rsidR="00240FB4" w:rsidRPr="00231B14">
        <w:rPr>
          <w:rFonts w:ascii="Times New Roman" w:hAnsi="Times New Roman" w:cs="Times New Roman"/>
          <w:sz w:val="24"/>
          <w:szCs w:val="24"/>
          <w:lang w:val="uk-UA"/>
        </w:rPr>
        <w:t xml:space="preserve"> 2 776</w:t>
      </w:r>
      <w:r w:rsidR="00B505E1" w:rsidRPr="00231B14">
        <w:rPr>
          <w:rFonts w:ascii="Times New Roman" w:hAnsi="Times New Roman" w:cs="Times New Roman"/>
          <w:sz w:val="24"/>
          <w:szCs w:val="24"/>
          <w:lang w:val="uk-UA"/>
        </w:rPr>
        <w:t xml:space="preserve"> суб`єктів господарювання - спрощенців, в тому числі : </w:t>
      </w:r>
      <w:r w:rsidR="00231B14" w:rsidRPr="00231B14">
        <w:rPr>
          <w:rFonts w:ascii="Times New Roman" w:hAnsi="Times New Roman" w:cs="Times New Roman"/>
          <w:sz w:val="24"/>
          <w:szCs w:val="24"/>
          <w:lang w:val="uk-UA"/>
        </w:rPr>
        <w:t>2 286</w:t>
      </w:r>
      <w:r w:rsidR="00B505E1" w:rsidRPr="00231B14">
        <w:rPr>
          <w:rFonts w:ascii="Times New Roman" w:hAnsi="Times New Roman" w:cs="Times New Roman"/>
          <w:sz w:val="24"/>
          <w:szCs w:val="24"/>
          <w:lang w:val="uk-UA"/>
        </w:rPr>
        <w:t xml:space="preserve"> фізичних осіб - підприємців та </w:t>
      </w:r>
      <w:r w:rsidR="003E7B3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231B14" w:rsidRPr="00231B14">
        <w:rPr>
          <w:rFonts w:ascii="Times New Roman" w:hAnsi="Times New Roman" w:cs="Times New Roman"/>
          <w:sz w:val="24"/>
          <w:szCs w:val="24"/>
          <w:lang w:val="uk-UA"/>
        </w:rPr>
        <w:t>490</w:t>
      </w:r>
      <w:r w:rsidR="00B505E1" w:rsidRPr="00231B14">
        <w:rPr>
          <w:rFonts w:ascii="Times New Roman" w:hAnsi="Times New Roman" w:cs="Times New Roman"/>
          <w:sz w:val="24"/>
          <w:szCs w:val="24"/>
          <w:lang w:val="uk-UA"/>
        </w:rPr>
        <w:t xml:space="preserve"> юридичних осіб.</w:t>
      </w:r>
    </w:p>
    <w:p w:rsidR="00C31140" w:rsidRDefault="00C31140" w:rsidP="001445D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З 2015 року, відповідно до рішення Іллічівської міської ради від 30.05.2014р.                      № 506-VI, на території Іллічівської міської ради  запроваджено </w:t>
      </w:r>
      <w:r w:rsidRPr="00C31140">
        <w:rPr>
          <w:rFonts w:ascii="Times New Roman" w:hAnsi="Times New Roman" w:cs="Times New Roman"/>
          <w:b/>
          <w:sz w:val="24"/>
          <w:szCs w:val="24"/>
          <w:lang w:val="uk-UA"/>
        </w:rPr>
        <w:t>туристичний збір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За попередніми розрахунками планується отримати даного збору в розмірі 100,0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BC3CF1" w:rsidRDefault="00C31140" w:rsidP="00BC3CF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Відповідно до внесених змін до статті 215 Податкового кодексу України, за рішеннями місцевих рад встановлюється </w:t>
      </w:r>
      <w:r w:rsidRPr="00BC3CF1">
        <w:rPr>
          <w:rFonts w:ascii="Times New Roman" w:hAnsi="Times New Roman" w:cs="Times New Roman"/>
          <w:b/>
          <w:sz w:val="24"/>
          <w:szCs w:val="24"/>
          <w:lang w:val="uk-UA"/>
        </w:rPr>
        <w:t>акцизний податок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реалізації суб`єктами господарювання роздрібної торгівлі підакцизних товарів, а саме алкогольних напоїв, пива, тютюну, палива  у відсотках від вартості (з податком на додану вартість) в розмірі 5 %. За попередніми розрахунками </w:t>
      </w:r>
      <w:r w:rsidR="00BC3CF1">
        <w:rPr>
          <w:rFonts w:ascii="Times New Roman" w:hAnsi="Times New Roman" w:cs="Times New Roman"/>
          <w:sz w:val="24"/>
          <w:szCs w:val="24"/>
          <w:lang w:val="uk-UA"/>
        </w:rPr>
        <w:t xml:space="preserve">вказаний акцизний податок становитиме 10 000,0 </w:t>
      </w:r>
      <w:proofErr w:type="spellStart"/>
      <w:r w:rsidR="00BC3CF1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BC3CF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C3CF1" w:rsidRDefault="00BC3CF1" w:rsidP="00BC3CF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Обсяг реалізації алкогольних напоїв та пива у рік 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розрахунково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із надходжень </w:t>
      </w:r>
      <w:r w:rsidR="004657E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2014 році збору на розвиток виноградарства, садівництва 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хмілярства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) становить                              161 986,7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Обсяг реалізації палива заправними станціями за даними відділу статистики - 37 526,5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Разом : 199 513,2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Акцизний податок - 5 % -                          9 975,7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C3CF1" w:rsidRDefault="00BC3CF1" w:rsidP="00BC3CF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Також до структури доходів загального фонду зі спеціального фонду перенесено </w:t>
      </w:r>
      <w:r w:rsidRPr="005C7744">
        <w:rPr>
          <w:rFonts w:ascii="Times New Roman" w:hAnsi="Times New Roman" w:cs="Times New Roman"/>
          <w:b/>
          <w:sz w:val="24"/>
          <w:szCs w:val="24"/>
          <w:lang w:val="uk-UA"/>
        </w:rPr>
        <w:t>екологічний податок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>. В 2015 році планується отримати даного податку в розмірі                    320,0 тис.</w:t>
      </w:r>
      <w:r w:rsidR="001717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грн., що майже на рівні 2014 року (102,6 %, + </w:t>
      </w:r>
      <w:r w:rsidR="005C7744">
        <w:rPr>
          <w:rFonts w:ascii="Times New Roman" w:hAnsi="Times New Roman" w:cs="Times New Roman"/>
          <w:sz w:val="24"/>
          <w:szCs w:val="24"/>
          <w:lang w:val="uk-UA"/>
        </w:rPr>
        <w:t>8,1 тис.</w:t>
      </w:r>
      <w:r w:rsidR="001717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7744">
        <w:rPr>
          <w:rFonts w:ascii="Times New Roman" w:hAnsi="Times New Roman" w:cs="Times New Roman"/>
          <w:sz w:val="24"/>
          <w:szCs w:val="24"/>
          <w:lang w:val="uk-UA"/>
        </w:rPr>
        <w:t>грн.). Частина надходжень екологічного податку для міського бюджету не змінилась та залишилась на рівні 25 %.</w:t>
      </w:r>
    </w:p>
    <w:p w:rsidR="001E6989" w:rsidRDefault="005C7744" w:rsidP="005C774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5C7744">
        <w:rPr>
          <w:rFonts w:ascii="Times New Roman" w:hAnsi="Times New Roman" w:cs="Times New Roman"/>
          <w:b/>
          <w:sz w:val="24"/>
          <w:szCs w:val="24"/>
          <w:lang w:val="uk-UA"/>
        </w:rPr>
        <w:t>Адміністративні штрафи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інші санкції заплановано в розмірі 40,0 тис.</w:t>
      </w:r>
      <w:r w:rsidR="001717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грн., або на рівні надходжень 2014 року.</w:t>
      </w:r>
    </w:p>
    <w:p w:rsidR="005C7744" w:rsidRDefault="005C7744" w:rsidP="005C774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5C7744">
        <w:rPr>
          <w:rFonts w:ascii="Times New Roman" w:hAnsi="Times New Roman" w:cs="Times New Roman"/>
          <w:b/>
          <w:sz w:val="24"/>
          <w:szCs w:val="24"/>
          <w:lang w:val="uk-UA"/>
        </w:rPr>
        <w:t>Надходження від орендної плати</w:t>
      </w:r>
      <w:r w:rsidRPr="005C7744">
        <w:rPr>
          <w:rFonts w:ascii="Times New Roman" w:hAnsi="Times New Roman" w:cs="Times New Roman"/>
          <w:sz w:val="24"/>
          <w:szCs w:val="24"/>
          <w:lang w:val="uk-UA"/>
        </w:rPr>
        <w:t xml:space="preserve"> за користування цілісним майновим комплексом та іншим майном, що перебуває в комунальній власності</w:t>
      </w:r>
      <w:r>
        <w:rPr>
          <w:rFonts w:ascii="Times New Roman" w:hAnsi="Times New Roman" w:cs="Times New Roman"/>
          <w:sz w:val="24"/>
          <w:szCs w:val="24"/>
          <w:lang w:val="uk-UA"/>
        </w:rPr>
        <w:t>, заплановано на рівні                             1 450,0 тис.</w:t>
      </w:r>
      <w:r w:rsidR="001717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грн., що майже на рівні надходжень 2014 року (101,2 %, + 17,4 тис.</w:t>
      </w:r>
      <w:r w:rsidR="001717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грн.).</w:t>
      </w:r>
    </w:p>
    <w:p w:rsidR="005C7744" w:rsidRDefault="005C7744" w:rsidP="005C774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E1795B">
        <w:rPr>
          <w:rFonts w:ascii="Times New Roman" w:hAnsi="Times New Roman" w:cs="Times New Roman"/>
          <w:b/>
          <w:sz w:val="24"/>
          <w:szCs w:val="24"/>
          <w:lang w:val="uk-UA"/>
        </w:rPr>
        <w:t>Державне мито</w:t>
      </w:r>
      <w:r>
        <w:rPr>
          <w:rFonts w:ascii="Times New Roman" w:hAnsi="Times New Roman" w:cs="Times New Roman"/>
          <w:sz w:val="24"/>
          <w:szCs w:val="24"/>
          <w:lang w:val="uk-UA"/>
        </w:rPr>
        <w:t>, відповідно до внесених змін до Бюджетного кодексу України, зараховуватиметься стовідсотково до міського бюджету</w:t>
      </w:r>
      <w:r w:rsidR="00E1795B">
        <w:rPr>
          <w:rFonts w:ascii="Times New Roman" w:hAnsi="Times New Roman" w:cs="Times New Roman"/>
          <w:sz w:val="24"/>
          <w:szCs w:val="24"/>
          <w:lang w:val="uk-UA"/>
        </w:rPr>
        <w:t>. Тому при плануванні надходжень державного мита у 2015 році до бюджету міста враховано фактичні надходження державного мита до державного бюджету в 2014 році - 1 304,2 тис.</w:t>
      </w:r>
      <w:r w:rsidR="001717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1795B">
        <w:rPr>
          <w:rFonts w:ascii="Times New Roman" w:hAnsi="Times New Roman" w:cs="Times New Roman"/>
          <w:sz w:val="24"/>
          <w:szCs w:val="24"/>
          <w:lang w:val="uk-UA"/>
        </w:rPr>
        <w:t>грн. та надходження до міського бюджету в розмірі 151,2 тис.</w:t>
      </w:r>
      <w:r w:rsidR="001717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1795B">
        <w:rPr>
          <w:rFonts w:ascii="Times New Roman" w:hAnsi="Times New Roman" w:cs="Times New Roman"/>
          <w:sz w:val="24"/>
          <w:szCs w:val="24"/>
          <w:lang w:val="uk-UA"/>
        </w:rPr>
        <w:t>грн.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1795B">
        <w:rPr>
          <w:rFonts w:ascii="Times New Roman" w:hAnsi="Times New Roman" w:cs="Times New Roman"/>
          <w:sz w:val="24"/>
          <w:szCs w:val="24"/>
          <w:lang w:val="uk-UA"/>
        </w:rPr>
        <w:t>Планова сума становить                           1 400,0 тис.</w:t>
      </w:r>
      <w:r w:rsidR="001717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1795B">
        <w:rPr>
          <w:rFonts w:ascii="Times New Roman" w:hAnsi="Times New Roman" w:cs="Times New Roman"/>
          <w:sz w:val="24"/>
          <w:szCs w:val="24"/>
          <w:lang w:val="uk-UA"/>
        </w:rPr>
        <w:t>грн.</w:t>
      </w:r>
    </w:p>
    <w:p w:rsidR="00E1795B" w:rsidRDefault="00E1795B" w:rsidP="005C774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До міського бюджету в 2015 році буде надходити </w:t>
      </w:r>
      <w:r w:rsidRPr="00E179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плата за надання </w:t>
      </w:r>
      <w:r w:rsidR="0017170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інших </w:t>
      </w:r>
      <w:r w:rsidRPr="00E1795B">
        <w:rPr>
          <w:rFonts w:ascii="Times New Roman" w:hAnsi="Times New Roman" w:cs="Times New Roman"/>
          <w:b/>
          <w:sz w:val="24"/>
          <w:szCs w:val="24"/>
          <w:lang w:val="uk-UA"/>
        </w:rPr>
        <w:t>адміністративних послуг</w:t>
      </w:r>
      <w:r w:rsidR="0017170A">
        <w:rPr>
          <w:rFonts w:ascii="Times New Roman" w:hAnsi="Times New Roman" w:cs="Times New Roman"/>
          <w:b/>
          <w:sz w:val="24"/>
          <w:szCs w:val="24"/>
          <w:lang w:val="uk-UA"/>
        </w:rPr>
        <w:t>, що справляється за місцем надання послуг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(новий вид </w:t>
      </w:r>
      <w:r w:rsidRPr="0017170A">
        <w:rPr>
          <w:rFonts w:ascii="Times New Roman" w:hAnsi="Times New Roman" w:cs="Times New Roman"/>
          <w:sz w:val="24"/>
          <w:szCs w:val="24"/>
          <w:lang w:val="uk-UA"/>
        </w:rPr>
        <w:t>надходжень)</w:t>
      </w:r>
      <w:r w:rsidR="0017170A" w:rsidRPr="0017170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17170A">
        <w:rPr>
          <w:rFonts w:ascii="Times New Roman" w:hAnsi="Times New Roman" w:cs="Times New Roman"/>
          <w:sz w:val="24"/>
          <w:szCs w:val="24"/>
          <w:lang w:val="uk-UA"/>
        </w:rPr>
        <w:t>При його плануванні враховано фактичні надходження плати за надання адміністративних послуг до державного бюджету в розмірі 252,2 тис.</w:t>
      </w:r>
      <w:r w:rsidR="001717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170A">
        <w:rPr>
          <w:rFonts w:ascii="Times New Roman" w:hAnsi="Times New Roman" w:cs="Times New Roman"/>
          <w:sz w:val="24"/>
          <w:szCs w:val="24"/>
          <w:lang w:val="uk-UA"/>
        </w:rPr>
        <w:t>грн. Планова сума становить 200,0 тис.</w:t>
      </w:r>
      <w:r w:rsidR="001717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170A">
        <w:rPr>
          <w:rFonts w:ascii="Times New Roman" w:hAnsi="Times New Roman" w:cs="Times New Roman"/>
          <w:sz w:val="24"/>
          <w:szCs w:val="24"/>
          <w:lang w:val="uk-UA"/>
        </w:rPr>
        <w:t>грн.</w:t>
      </w:r>
    </w:p>
    <w:p w:rsidR="00E1795B" w:rsidRDefault="00E1795B" w:rsidP="005C774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B505E1">
        <w:rPr>
          <w:rFonts w:ascii="Times New Roman" w:hAnsi="Times New Roman" w:cs="Times New Roman"/>
          <w:b/>
          <w:sz w:val="24"/>
          <w:szCs w:val="24"/>
          <w:lang w:val="uk-UA"/>
        </w:rPr>
        <w:t>Інші надходження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міського бюджету заплановано на рівні 430,0 тис.</w:t>
      </w:r>
      <w:r w:rsidR="001717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грн., що на 14</w:t>
      </w:r>
      <w:r w:rsidR="004657EF">
        <w:rPr>
          <w:rFonts w:ascii="Times New Roman" w:hAnsi="Times New Roman" w:cs="Times New Roman"/>
          <w:sz w:val="24"/>
          <w:szCs w:val="24"/>
          <w:lang w:val="uk-UA"/>
        </w:rPr>
        <w:t>5,2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тис.</w:t>
      </w:r>
      <w:r w:rsidR="001717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грн., або на 25 % менше рівня надходжень 2014 </w:t>
      </w:r>
      <w:r w:rsidRPr="0017170A">
        <w:rPr>
          <w:rFonts w:ascii="Times New Roman" w:hAnsi="Times New Roman" w:cs="Times New Roman"/>
          <w:sz w:val="24"/>
          <w:szCs w:val="24"/>
          <w:lang w:val="uk-UA"/>
        </w:rPr>
        <w:t xml:space="preserve">року. Зменшення пояснюється тим, що </w:t>
      </w:r>
      <w:r w:rsidR="0017170A" w:rsidRPr="0017170A">
        <w:rPr>
          <w:rFonts w:ascii="Times New Roman" w:hAnsi="Times New Roman" w:cs="Times New Roman"/>
          <w:sz w:val="24"/>
          <w:szCs w:val="24"/>
          <w:lang w:val="uk-UA"/>
        </w:rPr>
        <w:t xml:space="preserve">протягом </w:t>
      </w:r>
      <w:r w:rsidRPr="0017170A">
        <w:rPr>
          <w:rFonts w:ascii="Times New Roman" w:hAnsi="Times New Roman" w:cs="Times New Roman"/>
          <w:sz w:val="24"/>
          <w:szCs w:val="24"/>
          <w:lang w:val="uk-UA"/>
        </w:rPr>
        <w:t>2014 році бул</w:t>
      </w:r>
      <w:r w:rsidR="0017170A" w:rsidRPr="0017170A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17170A">
        <w:rPr>
          <w:rFonts w:ascii="Times New Roman" w:hAnsi="Times New Roman" w:cs="Times New Roman"/>
          <w:sz w:val="24"/>
          <w:szCs w:val="24"/>
          <w:lang w:val="uk-UA"/>
        </w:rPr>
        <w:t xml:space="preserve"> отриман</w:t>
      </w:r>
      <w:r w:rsidR="0017170A" w:rsidRPr="0017170A">
        <w:rPr>
          <w:rFonts w:ascii="Times New Roman" w:hAnsi="Times New Roman" w:cs="Times New Roman"/>
          <w:sz w:val="24"/>
          <w:szCs w:val="24"/>
          <w:lang w:val="uk-UA"/>
        </w:rPr>
        <w:t xml:space="preserve">і одноразові платежі </w:t>
      </w:r>
      <w:r w:rsidRPr="0017170A">
        <w:rPr>
          <w:rFonts w:ascii="Times New Roman" w:hAnsi="Times New Roman" w:cs="Times New Roman"/>
          <w:sz w:val="24"/>
          <w:szCs w:val="24"/>
          <w:lang w:val="uk-UA"/>
        </w:rPr>
        <w:t>за тимчасове користування місцем</w:t>
      </w:r>
      <w:r w:rsidR="00B505E1" w:rsidRPr="0017170A">
        <w:rPr>
          <w:rFonts w:ascii="Times New Roman" w:hAnsi="Times New Roman" w:cs="Times New Roman"/>
          <w:sz w:val="24"/>
          <w:szCs w:val="24"/>
          <w:lang w:val="uk-UA"/>
        </w:rPr>
        <w:t xml:space="preserve">, що перебуває в </w:t>
      </w:r>
      <w:r w:rsidRPr="0017170A">
        <w:rPr>
          <w:rFonts w:ascii="Times New Roman" w:hAnsi="Times New Roman" w:cs="Times New Roman"/>
          <w:sz w:val="24"/>
          <w:szCs w:val="24"/>
          <w:lang w:val="uk-UA"/>
        </w:rPr>
        <w:t>комунальн</w:t>
      </w:r>
      <w:r w:rsidR="00B505E1" w:rsidRPr="0017170A">
        <w:rPr>
          <w:rFonts w:ascii="Times New Roman" w:hAnsi="Times New Roman" w:cs="Times New Roman"/>
          <w:sz w:val="24"/>
          <w:szCs w:val="24"/>
          <w:lang w:val="uk-UA"/>
        </w:rPr>
        <w:t xml:space="preserve">ій </w:t>
      </w:r>
      <w:r w:rsidRPr="0017170A">
        <w:rPr>
          <w:rFonts w:ascii="Times New Roman" w:hAnsi="Times New Roman" w:cs="Times New Roman"/>
          <w:sz w:val="24"/>
          <w:szCs w:val="24"/>
          <w:lang w:val="uk-UA"/>
        </w:rPr>
        <w:t>власності</w:t>
      </w:r>
      <w:r w:rsidR="0017170A" w:rsidRPr="0017170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717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505E1" w:rsidRPr="0017170A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="0017170A" w:rsidRPr="0017170A">
        <w:rPr>
          <w:rFonts w:ascii="Times New Roman" w:hAnsi="Times New Roman" w:cs="Times New Roman"/>
          <w:sz w:val="24"/>
          <w:szCs w:val="24"/>
          <w:lang w:val="uk-UA"/>
        </w:rPr>
        <w:t xml:space="preserve">договорами, термін дії яких становить     </w:t>
      </w:r>
      <w:r w:rsidR="00B505E1" w:rsidRPr="0017170A">
        <w:rPr>
          <w:rFonts w:ascii="Times New Roman" w:hAnsi="Times New Roman" w:cs="Times New Roman"/>
          <w:sz w:val="24"/>
          <w:szCs w:val="24"/>
          <w:lang w:val="uk-UA"/>
        </w:rPr>
        <w:t>5 років</w:t>
      </w:r>
      <w:r w:rsidR="0017170A" w:rsidRPr="0017170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505E1" w:rsidRPr="0017170A">
        <w:rPr>
          <w:rFonts w:ascii="Times New Roman" w:hAnsi="Times New Roman" w:cs="Times New Roman"/>
          <w:sz w:val="24"/>
          <w:szCs w:val="24"/>
          <w:lang w:val="uk-UA"/>
        </w:rPr>
        <w:t xml:space="preserve"> в загальному розмірі 178,4 тис.</w:t>
      </w:r>
      <w:r w:rsidR="0017170A" w:rsidRPr="001717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505E1" w:rsidRPr="0017170A">
        <w:rPr>
          <w:rFonts w:ascii="Times New Roman" w:hAnsi="Times New Roman" w:cs="Times New Roman"/>
          <w:sz w:val="24"/>
          <w:szCs w:val="24"/>
          <w:lang w:val="uk-UA"/>
        </w:rPr>
        <w:t>грн.</w:t>
      </w:r>
    </w:p>
    <w:p w:rsidR="00B505E1" w:rsidRDefault="003E7B35" w:rsidP="005C774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505E1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B505E1" w:rsidRPr="00010D54">
        <w:rPr>
          <w:rFonts w:ascii="Times New Roman" w:hAnsi="Times New Roman" w:cs="Times New Roman"/>
          <w:b/>
          <w:sz w:val="24"/>
          <w:szCs w:val="24"/>
          <w:lang w:val="uk-UA"/>
        </w:rPr>
        <w:t>Спеціальний фонд бюджету</w:t>
      </w:r>
      <w:r w:rsidR="00B505E1">
        <w:rPr>
          <w:rFonts w:ascii="Times New Roman" w:hAnsi="Times New Roman" w:cs="Times New Roman"/>
          <w:sz w:val="24"/>
          <w:szCs w:val="24"/>
          <w:lang w:val="uk-UA"/>
        </w:rPr>
        <w:t xml:space="preserve"> міста Іллічівська визначено в розмірі 5 845,7 тис.</w:t>
      </w:r>
      <w:r w:rsidR="001717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505E1">
        <w:rPr>
          <w:rFonts w:ascii="Times New Roman" w:hAnsi="Times New Roman" w:cs="Times New Roman"/>
          <w:sz w:val="24"/>
          <w:szCs w:val="24"/>
          <w:lang w:val="uk-UA"/>
        </w:rPr>
        <w:t xml:space="preserve">грн., що на </w:t>
      </w:r>
      <w:r w:rsidR="00010D54">
        <w:rPr>
          <w:rFonts w:ascii="Times New Roman" w:hAnsi="Times New Roman" w:cs="Times New Roman"/>
          <w:sz w:val="24"/>
          <w:szCs w:val="24"/>
          <w:lang w:val="uk-UA"/>
        </w:rPr>
        <w:t>19 8</w:t>
      </w:r>
      <w:r w:rsidR="004657EF">
        <w:rPr>
          <w:rFonts w:ascii="Times New Roman" w:hAnsi="Times New Roman" w:cs="Times New Roman"/>
          <w:sz w:val="24"/>
          <w:szCs w:val="24"/>
          <w:lang w:val="uk-UA"/>
        </w:rPr>
        <w:t>93,9</w:t>
      </w:r>
      <w:r w:rsidR="00010D54">
        <w:rPr>
          <w:rFonts w:ascii="Times New Roman" w:hAnsi="Times New Roman" w:cs="Times New Roman"/>
          <w:sz w:val="24"/>
          <w:szCs w:val="24"/>
          <w:lang w:val="uk-UA"/>
        </w:rPr>
        <w:t xml:space="preserve"> тис.</w:t>
      </w:r>
      <w:r w:rsidR="001717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0D54">
        <w:rPr>
          <w:rFonts w:ascii="Times New Roman" w:hAnsi="Times New Roman" w:cs="Times New Roman"/>
          <w:sz w:val="24"/>
          <w:szCs w:val="24"/>
          <w:lang w:val="uk-UA"/>
        </w:rPr>
        <w:t>грн., або на 7</w:t>
      </w:r>
      <w:r w:rsidR="00585AEB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010D54">
        <w:rPr>
          <w:rFonts w:ascii="Times New Roman" w:hAnsi="Times New Roman" w:cs="Times New Roman"/>
          <w:sz w:val="24"/>
          <w:szCs w:val="24"/>
          <w:lang w:val="uk-UA"/>
        </w:rPr>
        <w:t xml:space="preserve"> % менше фактичних надходжень 2014 року, за рахунок проведеної реформи бюджетного законодавства.</w:t>
      </w:r>
    </w:p>
    <w:p w:rsidR="00010D54" w:rsidRDefault="00010D54" w:rsidP="005C774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Найбільшу питому вагу (80,9 %) надходжень загального фонду займають </w:t>
      </w:r>
      <w:r w:rsidRPr="00010D54">
        <w:rPr>
          <w:rFonts w:ascii="Times New Roman" w:hAnsi="Times New Roman" w:cs="Times New Roman"/>
          <w:b/>
          <w:sz w:val="24"/>
          <w:szCs w:val="24"/>
          <w:lang w:val="uk-UA"/>
        </w:rPr>
        <w:t>власні надходження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бюджетних установ, які в 2015 році заплановані в розмірі 4 729,5 тис.</w:t>
      </w:r>
      <w:r w:rsidR="001717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грн. </w:t>
      </w:r>
      <w:r w:rsidRPr="001C02F5">
        <w:rPr>
          <w:rFonts w:ascii="Times New Roman" w:hAnsi="Times New Roman" w:cs="Times New Roman"/>
          <w:sz w:val="24"/>
          <w:szCs w:val="24"/>
          <w:lang w:val="uk-UA"/>
        </w:rPr>
        <w:t xml:space="preserve">Плановий розрахунок проводився на підставі </w:t>
      </w:r>
      <w:r w:rsidR="001C02F5" w:rsidRPr="001C02F5">
        <w:rPr>
          <w:rFonts w:ascii="Times New Roman" w:hAnsi="Times New Roman" w:cs="Times New Roman"/>
          <w:sz w:val="24"/>
          <w:szCs w:val="24"/>
          <w:lang w:val="uk-UA"/>
        </w:rPr>
        <w:t xml:space="preserve">розрахунків до кошторису бюджету </w:t>
      </w:r>
      <w:r w:rsidRPr="001C02F5">
        <w:rPr>
          <w:rFonts w:ascii="Times New Roman" w:hAnsi="Times New Roman" w:cs="Times New Roman"/>
          <w:sz w:val="24"/>
          <w:szCs w:val="24"/>
          <w:lang w:val="uk-UA"/>
        </w:rPr>
        <w:t>головних розпорядників</w:t>
      </w:r>
      <w:r w:rsidR="001C02F5" w:rsidRPr="001C02F5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10D54" w:rsidRDefault="00010D54" w:rsidP="005C774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E7B3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010D54">
        <w:rPr>
          <w:rFonts w:ascii="Times New Roman" w:hAnsi="Times New Roman" w:cs="Times New Roman"/>
          <w:b/>
          <w:sz w:val="24"/>
          <w:szCs w:val="24"/>
          <w:lang w:val="uk-UA"/>
        </w:rPr>
        <w:t>Бюджет розвитку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заплановано на рівні 881,2 тис.</w:t>
      </w:r>
      <w:r w:rsidR="00127C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грн., в тому числі :</w:t>
      </w:r>
    </w:p>
    <w:p w:rsidR="00010D54" w:rsidRDefault="00010D54" w:rsidP="005C774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надходження коштів пайової участі замовників у розвитку інфраструктури населеного пункту в розмірі 500,0 тис.</w:t>
      </w:r>
      <w:r w:rsidR="00127C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грн.;</w:t>
      </w:r>
    </w:p>
    <w:p w:rsidR="004A76D6" w:rsidRDefault="004A76D6" w:rsidP="004A76D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27CD8">
        <w:rPr>
          <w:rFonts w:ascii="Times New Roman" w:hAnsi="Times New Roman" w:cs="Times New Roman"/>
          <w:sz w:val="24"/>
          <w:szCs w:val="24"/>
          <w:lang w:val="uk-UA"/>
        </w:rPr>
        <w:t>- надходжен</w:t>
      </w:r>
      <w:r w:rsidR="00127CD8" w:rsidRPr="00127CD8">
        <w:rPr>
          <w:rFonts w:ascii="Times New Roman" w:hAnsi="Times New Roman" w:cs="Times New Roman"/>
          <w:sz w:val="24"/>
          <w:szCs w:val="24"/>
          <w:lang w:val="uk-UA"/>
        </w:rPr>
        <w:t>ня</w:t>
      </w:r>
      <w:r w:rsidRPr="00127CD8">
        <w:rPr>
          <w:rFonts w:ascii="Times New Roman" w:hAnsi="Times New Roman" w:cs="Times New Roman"/>
          <w:sz w:val="24"/>
          <w:szCs w:val="24"/>
          <w:lang w:val="uk-UA"/>
        </w:rPr>
        <w:t xml:space="preserve"> від продажу земельних ділянок - 381,2 </w:t>
      </w:r>
      <w:r w:rsidR="00127CD8" w:rsidRPr="00127CD8">
        <w:rPr>
          <w:rFonts w:ascii="Times New Roman" w:hAnsi="Times New Roman" w:cs="Times New Roman"/>
          <w:sz w:val="24"/>
          <w:szCs w:val="24"/>
          <w:lang w:val="uk-UA"/>
        </w:rPr>
        <w:t>тис.</w:t>
      </w:r>
      <w:r w:rsidR="00127C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7CD8" w:rsidRPr="00127CD8">
        <w:rPr>
          <w:rFonts w:ascii="Times New Roman" w:hAnsi="Times New Roman" w:cs="Times New Roman"/>
          <w:sz w:val="24"/>
          <w:szCs w:val="24"/>
          <w:lang w:val="uk-UA"/>
        </w:rPr>
        <w:t xml:space="preserve">грн. (Волков Д.В., </w:t>
      </w:r>
      <w:r w:rsidR="00127CD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proofErr w:type="spellStart"/>
      <w:r w:rsidR="00127CD8" w:rsidRPr="00127CD8">
        <w:rPr>
          <w:rFonts w:ascii="Times New Roman" w:hAnsi="Times New Roman" w:cs="Times New Roman"/>
          <w:sz w:val="24"/>
          <w:szCs w:val="24"/>
          <w:lang w:val="uk-UA"/>
        </w:rPr>
        <w:t>Напрієнко</w:t>
      </w:r>
      <w:proofErr w:type="spellEnd"/>
      <w:r w:rsidR="00127CD8" w:rsidRPr="00127CD8">
        <w:rPr>
          <w:rFonts w:ascii="Times New Roman" w:hAnsi="Times New Roman" w:cs="Times New Roman"/>
          <w:sz w:val="24"/>
          <w:szCs w:val="24"/>
          <w:lang w:val="uk-UA"/>
        </w:rPr>
        <w:t xml:space="preserve"> П.В., для розміщення будівлі кафе,</w:t>
      </w:r>
      <w:r w:rsidR="003E7B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7CD8" w:rsidRPr="00127CD8">
        <w:rPr>
          <w:rFonts w:ascii="Times New Roman" w:hAnsi="Times New Roman" w:cs="Times New Roman"/>
          <w:sz w:val="24"/>
          <w:szCs w:val="24"/>
          <w:lang w:val="uk-UA"/>
        </w:rPr>
        <w:t>(сплачено аванс в серпні 2014р. -</w:t>
      </w:r>
      <w:r w:rsidR="003E7B3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="00127CD8" w:rsidRPr="00127CD8">
        <w:rPr>
          <w:rFonts w:ascii="Times New Roman" w:hAnsi="Times New Roman" w:cs="Times New Roman"/>
          <w:sz w:val="24"/>
          <w:szCs w:val="24"/>
          <w:lang w:val="uk-UA"/>
        </w:rPr>
        <w:t xml:space="preserve"> 137,6 тис. грн., повна вартість - 518,8 тис. грн.(розстрочка на 1 рік)</w:t>
      </w:r>
      <w:r w:rsidR="003E7B35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127CD8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010D54" w:rsidRDefault="00010D54" w:rsidP="005C774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надходження від відчуження майна, що знаходиться в комунальній власності </w:t>
      </w:r>
      <w:r w:rsidR="004A76D6">
        <w:rPr>
          <w:rFonts w:ascii="Times New Roman" w:hAnsi="Times New Roman" w:cs="Times New Roman"/>
          <w:sz w:val="24"/>
          <w:szCs w:val="24"/>
          <w:lang w:val="uk-UA"/>
        </w:rPr>
        <w:t>не плануються, оскільки з</w:t>
      </w:r>
      <w:r w:rsidR="00585AEB">
        <w:rPr>
          <w:rFonts w:ascii="Times New Roman" w:hAnsi="Times New Roman" w:cs="Times New Roman"/>
          <w:sz w:val="24"/>
          <w:szCs w:val="24"/>
          <w:lang w:val="uk-UA"/>
        </w:rPr>
        <w:t xml:space="preserve">вернень щодо </w:t>
      </w:r>
      <w:r w:rsidR="004A76D6">
        <w:rPr>
          <w:rFonts w:ascii="Times New Roman" w:hAnsi="Times New Roman" w:cs="Times New Roman"/>
          <w:sz w:val="24"/>
          <w:szCs w:val="24"/>
          <w:lang w:val="uk-UA"/>
        </w:rPr>
        <w:t>викуп</w:t>
      </w:r>
      <w:r w:rsidR="00585AEB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4A76D6">
        <w:rPr>
          <w:rFonts w:ascii="Times New Roman" w:hAnsi="Times New Roman" w:cs="Times New Roman"/>
          <w:sz w:val="24"/>
          <w:szCs w:val="24"/>
          <w:lang w:val="uk-UA"/>
        </w:rPr>
        <w:t xml:space="preserve"> майна до Іллічівської міської ради не надходило.</w:t>
      </w:r>
    </w:p>
    <w:p w:rsidR="00010D54" w:rsidRDefault="00010D54" w:rsidP="005C774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3E7B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1C02F5">
        <w:rPr>
          <w:rFonts w:ascii="Times New Roman" w:hAnsi="Times New Roman" w:cs="Times New Roman"/>
          <w:sz w:val="24"/>
          <w:szCs w:val="24"/>
          <w:lang w:val="uk-UA"/>
        </w:rPr>
        <w:t xml:space="preserve">Надходження до </w:t>
      </w:r>
      <w:r w:rsidRPr="001C02F5">
        <w:rPr>
          <w:rFonts w:ascii="Times New Roman" w:hAnsi="Times New Roman" w:cs="Times New Roman"/>
          <w:b/>
          <w:sz w:val="24"/>
          <w:szCs w:val="24"/>
          <w:lang w:val="uk-UA"/>
        </w:rPr>
        <w:t>цільового фонду</w:t>
      </w:r>
      <w:r w:rsidRPr="001C02F5">
        <w:rPr>
          <w:rFonts w:ascii="Times New Roman" w:hAnsi="Times New Roman" w:cs="Times New Roman"/>
          <w:sz w:val="24"/>
          <w:szCs w:val="24"/>
          <w:lang w:val="uk-UA"/>
        </w:rPr>
        <w:t xml:space="preserve"> бюджету заплановано в розмірі 5,0 </w:t>
      </w:r>
      <w:proofErr w:type="spellStart"/>
      <w:r w:rsidRPr="001C02F5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1C02F5">
        <w:rPr>
          <w:rFonts w:ascii="Times New Roman" w:hAnsi="Times New Roman" w:cs="Times New Roman"/>
          <w:sz w:val="24"/>
          <w:szCs w:val="24"/>
          <w:lang w:val="uk-UA"/>
        </w:rPr>
        <w:t xml:space="preserve">. В 2014 році до цільового фонду надійшли кошти від Державного підприємства "Іллічівський морський торговельний порт" в розмірі </w:t>
      </w:r>
      <w:r w:rsidR="001C02F5" w:rsidRPr="001C02F5">
        <w:rPr>
          <w:rFonts w:ascii="Times New Roman" w:hAnsi="Times New Roman" w:cs="Times New Roman"/>
          <w:sz w:val="24"/>
          <w:szCs w:val="24"/>
          <w:lang w:val="uk-UA"/>
        </w:rPr>
        <w:t>1 79</w:t>
      </w:r>
      <w:r w:rsidR="001C02F5">
        <w:rPr>
          <w:rFonts w:ascii="Times New Roman" w:hAnsi="Times New Roman" w:cs="Times New Roman"/>
          <w:sz w:val="24"/>
          <w:szCs w:val="24"/>
          <w:lang w:val="uk-UA"/>
        </w:rPr>
        <w:t>2,8</w:t>
      </w:r>
      <w:r w:rsidRPr="001C02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C02F5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1C02F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1C02F5">
        <w:rPr>
          <w:rFonts w:ascii="Times New Roman" w:hAnsi="Times New Roman" w:cs="Times New Roman"/>
          <w:sz w:val="24"/>
          <w:szCs w:val="24"/>
          <w:lang w:val="uk-UA"/>
        </w:rPr>
        <w:t>згідно договору від 24.10.2013р.            № 687-0 у вигляді компенсації відділу освіти витрат на утримання дитячих дошкільних закладів, переданих з державної до комунальної власності.</w:t>
      </w:r>
      <w:r w:rsidRPr="001C02F5">
        <w:rPr>
          <w:rFonts w:ascii="Times New Roman" w:hAnsi="Times New Roman" w:cs="Times New Roman"/>
          <w:sz w:val="24"/>
          <w:szCs w:val="24"/>
          <w:lang w:val="uk-UA"/>
        </w:rPr>
        <w:t xml:space="preserve"> Без врахування даних надходжень, до цільового фонду надійшло </w:t>
      </w:r>
      <w:r w:rsidR="001C02F5">
        <w:rPr>
          <w:rFonts w:ascii="Times New Roman" w:hAnsi="Times New Roman" w:cs="Times New Roman"/>
          <w:sz w:val="24"/>
          <w:szCs w:val="24"/>
          <w:lang w:val="uk-UA"/>
        </w:rPr>
        <w:t xml:space="preserve">6,4 </w:t>
      </w:r>
      <w:proofErr w:type="spellStart"/>
      <w:r w:rsidRPr="001C02F5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1C02F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A76D6" w:rsidRPr="004E5127" w:rsidRDefault="004E5127" w:rsidP="004A76D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51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</w:t>
      </w:r>
      <w:r w:rsidR="004A76D6" w:rsidRPr="004E5127">
        <w:rPr>
          <w:rFonts w:ascii="Times New Roman" w:hAnsi="Times New Roman" w:cs="Times New Roman"/>
          <w:b/>
          <w:sz w:val="28"/>
          <w:szCs w:val="28"/>
          <w:lang w:val="uk-UA"/>
        </w:rPr>
        <w:t>Субвенції з державного бюджету</w:t>
      </w:r>
    </w:p>
    <w:p w:rsidR="004A76D6" w:rsidRDefault="004A76D6" w:rsidP="004A76D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Відповідно до новацій бюджетного законодавства </w:t>
      </w:r>
      <w:r w:rsidR="004E5127">
        <w:rPr>
          <w:rFonts w:ascii="Times New Roman" w:hAnsi="Times New Roman" w:cs="Times New Roman"/>
          <w:sz w:val="24"/>
          <w:szCs w:val="24"/>
          <w:lang w:val="uk-UA"/>
        </w:rPr>
        <w:t xml:space="preserve">на 2015 рік передбачена </w:t>
      </w:r>
      <w:r w:rsidR="004E5127" w:rsidRPr="004E5127">
        <w:rPr>
          <w:rFonts w:ascii="Times New Roman" w:hAnsi="Times New Roman" w:cs="Times New Roman"/>
          <w:b/>
          <w:sz w:val="24"/>
          <w:szCs w:val="24"/>
          <w:lang w:val="uk-UA"/>
        </w:rPr>
        <w:t>освітня субвенція</w:t>
      </w:r>
      <w:r w:rsidR="004E5127">
        <w:rPr>
          <w:rFonts w:ascii="Times New Roman" w:hAnsi="Times New Roman" w:cs="Times New Roman"/>
          <w:sz w:val="24"/>
          <w:szCs w:val="24"/>
          <w:lang w:val="uk-UA"/>
        </w:rPr>
        <w:t xml:space="preserve"> з державного бюджету на фінансування видатків на утримання загальноосвітніх шкіл </w:t>
      </w:r>
      <w:r>
        <w:rPr>
          <w:rFonts w:ascii="Times New Roman" w:hAnsi="Times New Roman" w:cs="Times New Roman"/>
          <w:sz w:val="24"/>
          <w:szCs w:val="24"/>
          <w:lang w:val="uk-UA"/>
        </w:rPr>
        <w:t>в розмірі 57 225,1 тис. грн., яка затверджена для м. Іллічівська додатком 6 до Закону України від 28.12.2014р. № 80-VIII "Про Державний бюджет України на 2015 рік".</w:t>
      </w:r>
    </w:p>
    <w:p w:rsidR="00546D6A" w:rsidRDefault="00546D6A" w:rsidP="00546D6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46D6A" w:rsidRDefault="00546D6A" w:rsidP="00546D6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 Реверсна дотація</w:t>
      </w:r>
    </w:p>
    <w:p w:rsidR="00546D6A" w:rsidRDefault="00546D6A" w:rsidP="00546D6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З 2015 року запроваджено новий механізм бюджетного регулювання та вирівнювання, а саме адміністративно – територіальні одиниці розбити на 3 категорії :</w:t>
      </w:r>
    </w:p>
    <w:p w:rsidR="00546D6A" w:rsidRDefault="00546D6A" w:rsidP="00546D6A">
      <w:pPr>
        <w:pStyle w:val="a5"/>
        <w:numPr>
          <w:ilvl w:val="0"/>
          <w:numId w:val="1"/>
        </w:numPr>
        <w:spacing w:before="24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 категорія – індекс податкоспроможності яких більше 1,1 (відношення надходжень податку на доходи фізичних осіб на 1 жителя до середнього по Україні).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 них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поширюватиметься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реверсної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дотації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—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вилучення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зайвих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надходжень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 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обсязі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50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%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;</w:t>
      </w:r>
    </w:p>
    <w:p w:rsidR="00546D6A" w:rsidRDefault="00546D6A" w:rsidP="00546D6A">
      <w:pPr>
        <w:pStyle w:val="a5"/>
        <w:numPr>
          <w:ilvl w:val="0"/>
          <w:numId w:val="1"/>
        </w:numPr>
        <w:spacing w:before="240"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 категорія –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індкс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податкоспрожності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0,9 до 1,1 – базова дотація не змінюється;</w:t>
      </w:r>
    </w:p>
    <w:p w:rsidR="00546D6A" w:rsidRDefault="00546D6A" w:rsidP="00546D6A">
      <w:pPr>
        <w:pStyle w:val="a5"/>
        <w:numPr>
          <w:ilvl w:val="0"/>
          <w:numId w:val="1"/>
        </w:numPr>
        <w:spacing w:before="240"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 категорія – індекс податкоспроможності до 0,9. </w:t>
      </w: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ля них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базова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дотація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дорівнюватиме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80% до 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забезпечення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досягнення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рівня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0,9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</w:t>
      </w:r>
    </w:p>
    <w:p w:rsidR="00546D6A" w:rsidRDefault="00546D6A" w:rsidP="00546D6A">
      <w:pPr>
        <w:spacing w:before="240"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По місту Іллічівську індекс податкоспроможності </w:t>
      </w:r>
      <w:r w:rsidR="00585AEB">
        <w:rPr>
          <w:rFonts w:ascii="Times New Roman" w:hAnsi="Times New Roman" w:cs="Times New Roman"/>
          <w:sz w:val="24"/>
          <w:szCs w:val="24"/>
          <w:lang w:val="uk-UA"/>
        </w:rPr>
        <w:t>за 2013 рік становить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85AEB">
        <w:rPr>
          <w:rFonts w:ascii="Times New Roman" w:hAnsi="Times New Roman" w:cs="Times New Roman"/>
          <w:sz w:val="24"/>
          <w:szCs w:val="24"/>
          <w:lang w:val="uk-UA"/>
        </w:rPr>
        <w:t>1,873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Реверсна дотація на 2015 рік визначена в обсязі 22 501,9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(відповідно до додатку 6 до Закону України від 28.12.2014р. № 80-VIII "Про Державний бюджет України на 2015 рік»), що менше вилучення коштів до державного бюджету в 2014 році на 14 847,2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або на 39,8 %. </w:t>
      </w:r>
    </w:p>
    <w:p w:rsidR="004A76D6" w:rsidRDefault="004A76D6" w:rsidP="00546D6A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64954" w:rsidRDefault="00E64C83" w:rsidP="00064954">
      <w:pPr>
        <w:pStyle w:val="a8"/>
        <w:ind w:right="-57"/>
        <w:jc w:val="center"/>
        <w:rPr>
          <w:b/>
          <w:bCs/>
          <w:sz w:val="32"/>
          <w:szCs w:val="32"/>
          <w:lang w:val="uk-UA"/>
        </w:rPr>
      </w:pPr>
      <w:r w:rsidRPr="00064954">
        <w:rPr>
          <w:b/>
          <w:lang w:val="uk-UA"/>
        </w:rPr>
        <w:t xml:space="preserve">     </w:t>
      </w:r>
      <w:r w:rsidR="00064954" w:rsidRPr="00064954">
        <w:rPr>
          <w:b/>
          <w:lang w:val="uk-UA"/>
        </w:rPr>
        <w:t>4.</w:t>
      </w:r>
      <w:r w:rsidR="00064954">
        <w:rPr>
          <w:lang w:val="uk-UA"/>
        </w:rPr>
        <w:t xml:space="preserve"> </w:t>
      </w:r>
      <w:r w:rsidR="00064954">
        <w:rPr>
          <w:b/>
          <w:bCs/>
          <w:sz w:val="32"/>
          <w:szCs w:val="32"/>
          <w:lang w:val="uk-UA"/>
        </w:rPr>
        <w:t>Прогнозні розрахунки видаткової частини міського бюджету</w:t>
      </w:r>
    </w:p>
    <w:p w:rsidR="00064954" w:rsidRDefault="00064954" w:rsidP="00064954">
      <w:pPr>
        <w:pStyle w:val="a8"/>
        <w:ind w:right="-57"/>
        <w:jc w:val="center"/>
        <w:rPr>
          <w:b/>
          <w:bCs/>
          <w:lang w:val="uk-UA"/>
        </w:rPr>
      </w:pPr>
    </w:p>
    <w:p w:rsidR="00064954" w:rsidRPr="00064954" w:rsidRDefault="00064954" w:rsidP="00064954">
      <w:pPr>
        <w:jc w:val="both"/>
        <w:rPr>
          <w:rFonts w:ascii="Times New Roman" w:hAnsi="Times New Roman" w:cs="Times New Roman"/>
          <w:sz w:val="24"/>
          <w:szCs w:val="24"/>
        </w:rPr>
      </w:pPr>
      <w:r w:rsidRPr="00064954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Видаткова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частина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бюджету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міста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Іллічівська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на 201</w:t>
      </w:r>
      <w:r w:rsidRPr="00064954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рік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сформована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урахуванням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r w:rsidRPr="00064954">
        <w:rPr>
          <w:rFonts w:ascii="Times New Roman" w:hAnsi="Times New Roman" w:cs="Times New Roman"/>
          <w:sz w:val="24"/>
          <w:szCs w:val="24"/>
          <w:lang w:val="uk-UA"/>
        </w:rPr>
        <w:t>внесених</w:t>
      </w:r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змін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до Бюджетного кодексу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>,</w:t>
      </w:r>
      <w:r w:rsidRPr="000649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впливу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економічних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чинників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необхідності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дотримання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принципу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збалансованості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ефективного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раціонального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бюджетних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>.</w:t>
      </w:r>
    </w:p>
    <w:p w:rsidR="00064954" w:rsidRPr="00064954" w:rsidRDefault="00064954" w:rsidP="00064954">
      <w:pPr>
        <w:jc w:val="both"/>
        <w:rPr>
          <w:rFonts w:ascii="Times New Roman" w:hAnsi="Times New Roman" w:cs="Times New Roman"/>
          <w:sz w:val="24"/>
          <w:szCs w:val="24"/>
        </w:rPr>
      </w:pPr>
      <w:r w:rsidRPr="00064954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Розподіл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фінансового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ресурсу бюджету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міста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ґрунтується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виваженому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підході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бюджетних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концентрації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пріоритетних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напрямках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Видаткова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частина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 бюджету м.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Іллічівська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на 2015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рік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базується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 на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фактичних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 доходах,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розрахунках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Міністерства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, нормативах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забезпеченості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фінансовими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 ресурсами  на   жителя, на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учня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, на 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дитину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урахуванням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пріоритетів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найважливіші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 -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підвищення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рівня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соціальної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захищеності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фінансової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забезпеченості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бюджетних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>.</w:t>
      </w:r>
    </w:p>
    <w:p w:rsidR="00064954" w:rsidRPr="00064954" w:rsidRDefault="00064954" w:rsidP="00064954">
      <w:pPr>
        <w:jc w:val="both"/>
        <w:rPr>
          <w:rFonts w:ascii="Times New Roman" w:hAnsi="Times New Roman" w:cs="Times New Roman"/>
          <w:sz w:val="24"/>
          <w:szCs w:val="24"/>
        </w:rPr>
      </w:pPr>
      <w:r w:rsidRPr="00064954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Крім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значна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увага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надається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питанням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утримання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сектору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економіки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міста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реалізації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інвестиційних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проектів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>.</w:t>
      </w:r>
    </w:p>
    <w:p w:rsidR="00064954" w:rsidRDefault="00064954" w:rsidP="0006495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4954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064954">
        <w:rPr>
          <w:rFonts w:ascii="Times New Roman" w:hAnsi="Times New Roman" w:cs="Times New Roman"/>
          <w:sz w:val="24"/>
          <w:szCs w:val="24"/>
          <w:lang w:eastAsia="uk-UA"/>
        </w:rPr>
        <w:t>Виходячи</w:t>
      </w:r>
      <w:proofErr w:type="spellEnd"/>
      <w:r w:rsidRPr="00064954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  <w:lang w:eastAsia="uk-UA"/>
        </w:rPr>
        <w:t>з</w:t>
      </w:r>
      <w:proofErr w:type="spellEnd"/>
      <w:r w:rsidRPr="00064954">
        <w:rPr>
          <w:rFonts w:ascii="Times New Roman" w:hAnsi="Times New Roman" w:cs="Times New Roman"/>
          <w:sz w:val="24"/>
          <w:szCs w:val="24"/>
          <w:lang w:eastAsia="uk-UA"/>
        </w:rPr>
        <w:t xml:space="preserve"> принципу збалансованості бюджету відповідно до ст.7 Бюджетного кодексу України  та </w:t>
      </w:r>
      <w:r w:rsidRPr="00064954">
        <w:rPr>
          <w:rFonts w:ascii="Times New Roman" w:hAnsi="Times New Roman" w:cs="Times New Roman"/>
          <w:sz w:val="24"/>
          <w:szCs w:val="24"/>
        </w:rPr>
        <w:t xml:space="preserve"> прогнозованих ресурсів бюджету на 2015 рік, загальний обсяг видатків бюджету міста на наступний рік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прогнозується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у таких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обсягах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>:</w:t>
      </w:r>
    </w:p>
    <w:p w:rsidR="00064954" w:rsidRDefault="00064954" w:rsidP="0006495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64954" w:rsidRDefault="00064954" w:rsidP="0006495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64954" w:rsidRDefault="00064954" w:rsidP="0006495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64954" w:rsidRPr="00064954" w:rsidRDefault="00064954" w:rsidP="0006495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64954" w:rsidRPr="00064954" w:rsidRDefault="00064954" w:rsidP="00064954">
      <w:pPr>
        <w:pStyle w:val="a6"/>
        <w:spacing w:after="0"/>
        <w:ind w:right="6" w:firstLine="900"/>
        <w:jc w:val="both"/>
      </w:pPr>
      <w:r w:rsidRPr="00064954">
        <w:t xml:space="preserve">                                                                                       тис. грн.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40"/>
        <w:gridCol w:w="1814"/>
        <w:gridCol w:w="1417"/>
        <w:gridCol w:w="1418"/>
        <w:gridCol w:w="1260"/>
      </w:tblGrid>
      <w:tr w:rsidR="00064954" w:rsidRPr="00064954" w:rsidTr="00395BB0">
        <w:trPr>
          <w:cantSplit/>
        </w:trPr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954" w:rsidRPr="00064954" w:rsidRDefault="00064954" w:rsidP="00395BB0">
            <w:pPr>
              <w:ind w:right="6" w:firstLine="9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4954">
              <w:rPr>
                <w:rFonts w:ascii="Times New Roman" w:hAnsi="Times New Roman" w:cs="Times New Roman"/>
                <w:sz w:val="24"/>
                <w:szCs w:val="24"/>
              </w:rPr>
              <w:t>Видатки</w:t>
            </w:r>
            <w:proofErr w:type="spellEnd"/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954" w:rsidRPr="00064954" w:rsidRDefault="00064954" w:rsidP="00395BB0">
            <w:pPr>
              <w:ind w:right="6" w:firstLine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954"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proofErr w:type="spellStart"/>
            <w:r w:rsidRPr="00064954">
              <w:rPr>
                <w:rFonts w:ascii="Times New Roman" w:hAnsi="Times New Roman" w:cs="Times New Roman"/>
                <w:sz w:val="24"/>
                <w:szCs w:val="24"/>
              </w:rPr>
              <w:t>рік</w:t>
            </w:r>
            <w:proofErr w:type="spellEnd"/>
            <w:r w:rsidRPr="00064954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spellStart"/>
            <w:r w:rsidRPr="00064954">
              <w:rPr>
                <w:rFonts w:ascii="Times New Roman" w:hAnsi="Times New Roman" w:cs="Times New Roman"/>
                <w:sz w:val="24"/>
                <w:szCs w:val="24"/>
              </w:rPr>
              <w:t>передбачено</w:t>
            </w:r>
            <w:proofErr w:type="spellEnd"/>
            <w:r w:rsidRPr="00064954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064954">
              <w:rPr>
                <w:rFonts w:ascii="Times New Roman" w:hAnsi="Times New Roman" w:cs="Times New Roman"/>
                <w:sz w:val="24"/>
                <w:szCs w:val="24"/>
              </w:rPr>
              <w:t>бюджеті</w:t>
            </w:r>
            <w:proofErr w:type="spellEnd"/>
            <w:r w:rsidRPr="00064954">
              <w:rPr>
                <w:rFonts w:ascii="Times New Roman" w:hAnsi="Times New Roman" w:cs="Times New Roman"/>
                <w:sz w:val="24"/>
                <w:szCs w:val="24"/>
              </w:rPr>
              <w:t xml:space="preserve"> без </w:t>
            </w:r>
            <w:proofErr w:type="spellStart"/>
            <w:r w:rsidRPr="00064954">
              <w:rPr>
                <w:rFonts w:ascii="Times New Roman" w:hAnsi="Times New Roman" w:cs="Times New Roman"/>
                <w:sz w:val="24"/>
                <w:szCs w:val="24"/>
              </w:rPr>
              <w:t>урахування</w:t>
            </w:r>
            <w:proofErr w:type="spellEnd"/>
            <w:r w:rsidRPr="00064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954">
              <w:rPr>
                <w:rFonts w:ascii="Times New Roman" w:hAnsi="Times New Roman" w:cs="Times New Roman"/>
                <w:sz w:val="24"/>
                <w:szCs w:val="24"/>
              </w:rPr>
              <w:t>заборгованості</w:t>
            </w:r>
            <w:proofErr w:type="spellEnd"/>
            <w:r w:rsidRPr="00064954">
              <w:rPr>
                <w:rFonts w:ascii="Times New Roman" w:hAnsi="Times New Roman" w:cs="Times New Roman"/>
                <w:sz w:val="24"/>
                <w:szCs w:val="24"/>
              </w:rPr>
              <w:t xml:space="preserve"> за 2013 </w:t>
            </w:r>
            <w:proofErr w:type="spellStart"/>
            <w:r w:rsidRPr="00064954">
              <w:rPr>
                <w:rFonts w:ascii="Times New Roman" w:hAnsi="Times New Roman" w:cs="Times New Roman"/>
                <w:sz w:val="24"/>
                <w:szCs w:val="24"/>
              </w:rPr>
              <w:t>рік</w:t>
            </w:r>
            <w:proofErr w:type="spellEnd"/>
            <w:r w:rsidRPr="0006495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954" w:rsidRPr="00064954" w:rsidRDefault="00064954" w:rsidP="00395BB0">
            <w:pPr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954"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  <w:proofErr w:type="spellStart"/>
            <w:r w:rsidRPr="00064954">
              <w:rPr>
                <w:rFonts w:ascii="Times New Roman" w:hAnsi="Times New Roman" w:cs="Times New Roman"/>
                <w:sz w:val="24"/>
                <w:szCs w:val="24"/>
              </w:rPr>
              <w:t>рік</w:t>
            </w:r>
            <w:proofErr w:type="spellEnd"/>
          </w:p>
          <w:p w:rsidR="00064954" w:rsidRPr="00064954" w:rsidRDefault="00064954" w:rsidP="00395BB0">
            <w:pPr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95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064954">
              <w:rPr>
                <w:rFonts w:ascii="Times New Roman" w:hAnsi="Times New Roman" w:cs="Times New Roman"/>
                <w:sz w:val="24"/>
                <w:szCs w:val="24"/>
              </w:rPr>
              <w:t>враховано</w:t>
            </w:r>
            <w:proofErr w:type="spellEnd"/>
            <w:r w:rsidRPr="00064954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064954">
              <w:rPr>
                <w:rFonts w:ascii="Times New Roman" w:hAnsi="Times New Roman" w:cs="Times New Roman"/>
                <w:sz w:val="24"/>
                <w:szCs w:val="24"/>
              </w:rPr>
              <w:t>проекті</w:t>
            </w:r>
            <w:proofErr w:type="spellEnd"/>
            <w:r w:rsidRPr="00064954">
              <w:rPr>
                <w:rFonts w:ascii="Times New Roman" w:hAnsi="Times New Roman" w:cs="Times New Roman"/>
                <w:sz w:val="24"/>
                <w:szCs w:val="24"/>
              </w:rPr>
              <w:t xml:space="preserve"> бюджету)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954" w:rsidRPr="00064954" w:rsidRDefault="00064954" w:rsidP="00395BB0">
            <w:pPr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4954">
              <w:rPr>
                <w:rFonts w:ascii="Times New Roman" w:hAnsi="Times New Roman" w:cs="Times New Roman"/>
                <w:sz w:val="24"/>
                <w:szCs w:val="24"/>
              </w:rPr>
              <w:t>Зміни</w:t>
            </w:r>
            <w:proofErr w:type="spellEnd"/>
            <w:r w:rsidRPr="00064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4954">
              <w:rPr>
                <w:rFonts w:ascii="Times New Roman" w:hAnsi="Times New Roman" w:cs="Times New Roman"/>
                <w:sz w:val="24"/>
                <w:szCs w:val="24"/>
              </w:rPr>
              <w:t>проти</w:t>
            </w:r>
            <w:proofErr w:type="spellEnd"/>
            <w:r w:rsidRPr="00064954">
              <w:rPr>
                <w:rFonts w:ascii="Times New Roman" w:hAnsi="Times New Roman" w:cs="Times New Roman"/>
                <w:sz w:val="24"/>
                <w:szCs w:val="24"/>
              </w:rPr>
              <w:t xml:space="preserve"> 2014 року</w:t>
            </w:r>
          </w:p>
        </w:tc>
      </w:tr>
      <w:tr w:rsidR="00064954" w:rsidRPr="00064954" w:rsidTr="00395BB0">
        <w:tc>
          <w:tcPr>
            <w:tcW w:w="4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954" w:rsidRPr="00064954" w:rsidRDefault="00064954" w:rsidP="00395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954" w:rsidRPr="00064954" w:rsidRDefault="00064954" w:rsidP="00395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954" w:rsidRPr="00064954" w:rsidRDefault="00064954" w:rsidP="00395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954" w:rsidRPr="00064954" w:rsidRDefault="00064954" w:rsidP="00395BB0">
            <w:pPr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954">
              <w:rPr>
                <w:rFonts w:ascii="Times New Roman" w:hAnsi="Times New Roman" w:cs="Times New Roman"/>
                <w:sz w:val="24"/>
                <w:szCs w:val="24"/>
              </w:rPr>
              <w:t xml:space="preserve">(тис. </w:t>
            </w:r>
            <w:proofErr w:type="spellStart"/>
            <w:r w:rsidRPr="00064954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  <w:r w:rsidRPr="0006495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954" w:rsidRPr="00064954" w:rsidRDefault="00064954" w:rsidP="00395BB0">
            <w:pPr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954"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</w:tr>
      <w:tr w:rsidR="00064954" w:rsidRPr="00064954" w:rsidTr="00395BB0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954" w:rsidRPr="00064954" w:rsidRDefault="00064954" w:rsidP="00395BB0">
            <w:pPr>
              <w:pStyle w:val="4"/>
              <w:spacing w:before="0" w:after="0"/>
              <w:rPr>
                <w:b w:val="0"/>
                <w:bCs w:val="0"/>
                <w:sz w:val="24"/>
                <w:szCs w:val="24"/>
              </w:rPr>
            </w:pPr>
            <w:r w:rsidRPr="00064954">
              <w:rPr>
                <w:b w:val="0"/>
                <w:bCs w:val="0"/>
                <w:sz w:val="24"/>
                <w:szCs w:val="24"/>
              </w:rPr>
              <w:t>Бюджет міста Іллічівська – всього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4954" w:rsidRPr="00064954" w:rsidRDefault="00064954" w:rsidP="00395BB0">
            <w:pPr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954">
              <w:rPr>
                <w:rFonts w:ascii="Times New Roman" w:hAnsi="Times New Roman" w:cs="Times New Roman"/>
                <w:sz w:val="24"/>
                <w:szCs w:val="24"/>
              </w:rPr>
              <w:t>342 369,5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4954" w:rsidRPr="00064954" w:rsidRDefault="00064954" w:rsidP="00395BB0">
            <w:pPr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954">
              <w:rPr>
                <w:rFonts w:ascii="Times New Roman" w:hAnsi="Times New Roman" w:cs="Times New Roman"/>
                <w:sz w:val="24"/>
                <w:szCs w:val="24"/>
              </w:rPr>
              <w:t>278 207,8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4954" w:rsidRPr="00064954" w:rsidRDefault="00064954" w:rsidP="00395BB0">
            <w:pPr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954">
              <w:rPr>
                <w:rFonts w:ascii="Times New Roman" w:hAnsi="Times New Roman" w:cs="Times New Roman"/>
                <w:sz w:val="24"/>
                <w:szCs w:val="24"/>
              </w:rPr>
              <w:t>- 64 161,7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4954" w:rsidRPr="00064954" w:rsidRDefault="00064954" w:rsidP="00395BB0">
            <w:pPr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954">
              <w:rPr>
                <w:rFonts w:ascii="Times New Roman" w:hAnsi="Times New Roman" w:cs="Times New Roman"/>
                <w:sz w:val="24"/>
                <w:szCs w:val="24"/>
              </w:rPr>
              <w:t>81,3</w:t>
            </w:r>
          </w:p>
        </w:tc>
      </w:tr>
      <w:tr w:rsidR="00064954" w:rsidRPr="00064954" w:rsidTr="00395BB0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954" w:rsidRPr="00064954" w:rsidRDefault="00064954" w:rsidP="00395BB0">
            <w:pPr>
              <w:pStyle w:val="4"/>
              <w:spacing w:before="0" w:after="0"/>
              <w:rPr>
                <w:b w:val="0"/>
                <w:bCs w:val="0"/>
                <w:i/>
                <w:iCs/>
                <w:sz w:val="24"/>
                <w:szCs w:val="24"/>
              </w:rPr>
            </w:pPr>
            <w:r w:rsidRPr="00064954">
              <w:rPr>
                <w:b w:val="0"/>
                <w:bCs w:val="0"/>
                <w:i/>
                <w:iCs/>
                <w:sz w:val="24"/>
                <w:szCs w:val="24"/>
              </w:rPr>
              <w:t xml:space="preserve">         із них без урахування субвенції з державного та обласного бюджетів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4954" w:rsidRPr="00064954" w:rsidRDefault="00064954" w:rsidP="00395BB0">
            <w:pPr>
              <w:ind w:right="6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649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266 893,8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4954" w:rsidRPr="00064954" w:rsidRDefault="00064954" w:rsidP="00395BB0">
            <w:pPr>
              <w:ind w:right="6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649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278 207,8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4954" w:rsidRPr="00064954" w:rsidRDefault="00064954" w:rsidP="00395BB0">
            <w:pPr>
              <w:ind w:right="6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649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+ 11314,0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4954" w:rsidRPr="00064954" w:rsidRDefault="00064954" w:rsidP="00395BB0">
            <w:pPr>
              <w:ind w:right="6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649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104,2</w:t>
            </w:r>
          </w:p>
        </w:tc>
      </w:tr>
      <w:tr w:rsidR="00064954" w:rsidRPr="00064954" w:rsidTr="00395BB0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954" w:rsidRPr="00064954" w:rsidRDefault="00064954" w:rsidP="00395BB0">
            <w:pPr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954">
              <w:rPr>
                <w:rFonts w:ascii="Times New Roman" w:hAnsi="Times New Roman" w:cs="Times New Roman"/>
                <w:sz w:val="24"/>
                <w:szCs w:val="24"/>
              </w:rPr>
              <w:t xml:space="preserve">  в т.ч. </w:t>
            </w:r>
            <w:proofErr w:type="spellStart"/>
            <w:r w:rsidRPr="00064954">
              <w:rPr>
                <w:rFonts w:ascii="Times New Roman" w:hAnsi="Times New Roman" w:cs="Times New Roman"/>
                <w:sz w:val="24"/>
                <w:szCs w:val="24"/>
              </w:rPr>
              <w:t>загальний</w:t>
            </w:r>
            <w:proofErr w:type="spellEnd"/>
            <w:r w:rsidRPr="00064954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4954" w:rsidRPr="00064954" w:rsidRDefault="00064954" w:rsidP="00395BB0">
            <w:pPr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954">
              <w:rPr>
                <w:rFonts w:ascii="Times New Roman" w:hAnsi="Times New Roman" w:cs="Times New Roman"/>
                <w:sz w:val="24"/>
                <w:szCs w:val="24"/>
              </w:rPr>
              <w:t>287 706,4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4954" w:rsidRPr="00064954" w:rsidRDefault="00064954" w:rsidP="00395BB0">
            <w:pPr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954">
              <w:rPr>
                <w:rFonts w:ascii="Times New Roman" w:hAnsi="Times New Roman" w:cs="Times New Roman"/>
                <w:sz w:val="24"/>
                <w:szCs w:val="24"/>
              </w:rPr>
              <w:t>237 348,3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4954" w:rsidRPr="00064954" w:rsidRDefault="00064954" w:rsidP="00395BB0">
            <w:pPr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954">
              <w:rPr>
                <w:rFonts w:ascii="Times New Roman" w:hAnsi="Times New Roman" w:cs="Times New Roman"/>
                <w:sz w:val="24"/>
                <w:szCs w:val="24"/>
              </w:rPr>
              <w:t>- 50 358,1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4954" w:rsidRPr="00064954" w:rsidRDefault="00064954" w:rsidP="00395BB0">
            <w:pPr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954"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</w:tr>
      <w:tr w:rsidR="00064954" w:rsidRPr="00064954" w:rsidTr="00395BB0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954" w:rsidRPr="00064954" w:rsidRDefault="00064954" w:rsidP="00395BB0">
            <w:pPr>
              <w:ind w:right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649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</w:t>
            </w:r>
            <w:proofErr w:type="spellStart"/>
            <w:r w:rsidRPr="000649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із</w:t>
            </w:r>
            <w:proofErr w:type="spellEnd"/>
            <w:r w:rsidRPr="000649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них без </w:t>
            </w:r>
            <w:proofErr w:type="spellStart"/>
            <w:r w:rsidRPr="000649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урахування</w:t>
            </w:r>
            <w:proofErr w:type="spellEnd"/>
            <w:r w:rsidRPr="000649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649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соціальної</w:t>
            </w:r>
            <w:proofErr w:type="spellEnd"/>
            <w:r w:rsidRPr="000649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649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субвенції</w:t>
            </w:r>
            <w:proofErr w:type="spellEnd"/>
            <w:r w:rsidRPr="000649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649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</w:t>
            </w:r>
            <w:proofErr w:type="spellEnd"/>
            <w:r w:rsidRPr="000649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державного бюджету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4954" w:rsidRPr="00064954" w:rsidRDefault="00064954" w:rsidP="00395BB0">
            <w:pPr>
              <w:ind w:right="6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649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221 228,9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4954" w:rsidRPr="00064954" w:rsidRDefault="00064954" w:rsidP="00395BB0">
            <w:pPr>
              <w:ind w:right="6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649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237 348,3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4954" w:rsidRPr="00064954" w:rsidRDefault="00064954" w:rsidP="00395BB0">
            <w:pPr>
              <w:ind w:right="6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649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+ 16 120,0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4954" w:rsidRPr="00064954" w:rsidRDefault="00064954" w:rsidP="00395BB0">
            <w:pPr>
              <w:ind w:right="6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649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107,3</w:t>
            </w:r>
          </w:p>
        </w:tc>
      </w:tr>
      <w:tr w:rsidR="00064954" w:rsidRPr="00064954" w:rsidTr="00395BB0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954" w:rsidRPr="00064954" w:rsidRDefault="00064954" w:rsidP="00395BB0">
            <w:pPr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95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64954">
              <w:rPr>
                <w:rFonts w:ascii="Times New Roman" w:hAnsi="Times New Roman" w:cs="Times New Roman"/>
                <w:sz w:val="24"/>
                <w:szCs w:val="24"/>
              </w:rPr>
              <w:t>спеціальний</w:t>
            </w:r>
            <w:proofErr w:type="spellEnd"/>
            <w:r w:rsidRPr="00064954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4954" w:rsidRPr="00064954" w:rsidRDefault="00064954" w:rsidP="00395BB0">
            <w:pPr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954">
              <w:rPr>
                <w:rFonts w:ascii="Times New Roman" w:hAnsi="Times New Roman" w:cs="Times New Roman"/>
                <w:sz w:val="24"/>
                <w:szCs w:val="24"/>
              </w:rPr>
              <w:t>54 663,1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4954" w:rsidRPr="00064954" w:rsidRDefault="00064954" w:rsidP="00395BB0">
            <w:pPr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954">
              <w:rPr>
                <w:rFonts w:ascii="Times New Roman" w:hAnsi="Times New Roman" w:cs="Times New Roman"/>
                <w:sz w:val="24"/>
                <w:szCs w:val="24"/>
              </w:rPr>
              <w:t>40 859,5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4954" w:rsidRPr="00064954" w:rsidRDefault="00064954" w:rsidP="00395BB0">
            <w:pPr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954">
              <w:rPr>
                <w:rFonts w:ascii="Times New Roman" w:hAnsi="Times New Roman" w:cs="Times New Roman"/>
                <w:sz w:val="24"/>
                <w:szCs w:val="24"/>
              </w:rPr>
              <w:t>- 13 803,6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4954" w:rsidRPr="00064954" w:rsidRDefault="00064954" w:rsidP="00395BB0">
            <w:pPr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954">
              <w:rPr>
                <w:rFonts w:ascii="Times New Roman" w:hAnsi="Times New Roman" w:cs="Times New Roman"/>
                <w:sz w:val="24"/>
                <w:szCs w:val="24"/>
              </w:rPr>
              <w:t>74,7</w:t>
            </w:r>
          </w:p>
        </w:tc>
      </w:tr>
      <w:tr w:rsidR="00064954" w:rsidRPr="00064954" w:rsidTr="00395BB0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954" w:rsidRPr="00064954" w:rsidRDefault="00064954" w:rsidP="00395BB0">
            <w:pPr>
              <w:ind w:right="6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649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</w:t>
            </w:r>
            <w:proofErr w:type="spellStart"/>
            <w:r w:rsidRPr="000649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із</w:t>
            </w:r>
            <w:proofErr w:type="spellEnd"/>
            <w:r w:rsidRPr="000649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них без </w:t>
            </w:r>
            <w:proofErr w:type="spellStart"/>
            <w:r w:rsidRPr="000649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урахування</w:t>
            </w:r>
            <w:proofErr w:type="spellEnd"/>
            <w:r w:rsidRPr="000649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649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субвенції</w:t>
            </w:r>
            <w:proofErr w:type="spellEnd"/>
            <w:r w:rsidRPr="000649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649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</w:t>
            </w:r>
            <w:proofErr w:type="spellEnd"/>
            <w:r w:rsidRPr="000649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державного та </w:t>
            </w:r>
            <w:proofErr w:type="spellStart"/>
            <w:r w:rsidRPr="000649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обласного</w:t>
            </w:r>
            <w:proofErr w:type="spellEnd"/>
            <w:r w:rsidRPr="000649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649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бюджетів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4954" w:rsidRPr="00064954" w:rsidRDefault="00064954" w:rsidP="00395BB0">
            <w:pPr>
              <w:ind w:right="6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649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45 664,9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4954" w:rsidRPr="00064954" w:rsidRDefault="00064954" w:rsidP="00395BB0">
            <w:pPr>
              <w:ind w:right="6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649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40 859,5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4954" w:rsidRPr="00064954" w:rsidRDefault="00064954" w:rsidP="00395BB0">
            <w:pPr>
              <w:ind w:right="6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649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- 4 805,4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4954" w:rsidRPr="00064954" w:rsidRDefault="00064954" w:rsidP="00395BB0">
            <w:pPr>
              <w:ind w:right="6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6495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89,5</w:t>
            </w:r>
          </w:p>
        </w:tc>
      </w:tr>
    </w:tbl>
    <w:p w:rsidR="00064954" w:rsidRPr="00064954" w:rsidRDefault="00064954" w:rsidP="00064954">
      <w:pPr>
        <w:tabs>
          <w:tab w:val="left" w:pos="900"/>
        </w:tabs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495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64954" w:rsidRPr="00064954" w:rsidRDefault="00064954" w:rsidP="00064954">
      <w:pPr>
        <w:tabs>
          <w:tab w:val="left" w:pos="900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064954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Прогнозний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обсяг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видатків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загального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фонду (без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урахування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соціальної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субвенції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розрахований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обсязі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237 348,3 тис.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>.</w:t>
      </w:r>
      <w:r w:rsidRPr="00064954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на  3 116,3  тис.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на 1,3 %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більше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планових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видатків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2014 року.  </w:t>
      </w:r>
    </w:p>
    <w:p w:rsidR="00064954" w:rsidRPr="00064954" w:rsidRDefault="00064954" w:rsidP="00064954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Видатки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загального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фонду на  оплату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нарахуваннями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збільшено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порівняно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 2014 роком  на   5 486,6  тис.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на 5,3 %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розраховані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сумі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 108 869,1 тис.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64954" w:rsidRPr="00064954" w:rsidRDefault="00064954" w:rsidP="00064954">
      <w:pPr>
        <w:spacing w:before="120" w:after="12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Розрахунок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прогнозних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показників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видатків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бюджету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здійснено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урахуванням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064954" w:rsidRPr="00064954" w:rsidRDefault="00064954" w:rsidP="00064954">
      <w:pPr>
        <w:spacing w:after="12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запровадження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розміру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мінімальної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заробітної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плати: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січня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– 1 218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гривень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                   1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грудня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– 1 378  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гривня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>;</w:t>
      </w:r>
    </w:p>
    <w:p w:rsidR="00064954" w:rsidRPr="00064954" w:rsidRDefault="00064954" w:rsidP="00064954">
      <w:pPr>
        <w:tabs>
          <w:tab w:val="left" w:pos="709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064954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посадових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окладів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працівникам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вони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менші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мінімальну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заробітну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плату, на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рівні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мінімальної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заробітної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плати;</w:t>
      </w:r>
    </w:p>
    <w:p w:rsidR="00064954" w:rsidRPr="00064954" w:rsidRDefault="00064954" w:rsidP="00064954">
      <w:pPr>
        <w:tabs>
          <w:tab w:val="left" w:pos="709"/>
        </w:tabs>
        <w:spacing w:before="120" w:after="12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64954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індексації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заробітної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плати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працівників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бюджетних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виконавчих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Іллічівської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ради у порядку та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розмірах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встановлених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Кабінетом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Міністрів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в межах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бюджетних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асигнувань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визначених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на оплату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>.</w:t>
      </w:r>
    </w:p>
    <w:p w:rsidR="00064954" w:rsidRPr="00064954" w:rsidRDefault="00064954" w:rsidP="00064954">
      <w:pPr>
        <w:pStyle w:val="a9"/>
        <w:spacing w:before="0"/>
        <w:ind w:firstLine="284"/>
        <w:rPr>
          <w:rFonts w:ascii="Times New Roman" w:hAnsi="Times New Roman" w:cs="Times New Roman"/>
          <w:sz w:val="24"/>
          <w:szCs w:val="24"/>
        </w:rPr>
      </w:pPr>
      <w:r w:rsidRPr="00064954">
        <w:rPr>
          <w:rFonts w:ascii="Times New Roman" w:hAnsi="Times New Roman" w:cs="Times New Roman"/>
          <w:sz w:val="24"/>
          <w:szCs w:val="24"/>
        </w:rPr>
        <w:t xml:space="preserve">Розрахований обсяг видатків  в  повному  обсязі  забезпечить  фінансування   захищених  статей  за  їх  економічною  структурою, а  саме :                </w:t>
      </w:r>
    </w:p>
    <w:p w:rsidR="00064954" w:rsidRPr="00064954" w:rsidRDefault="00064954" w:rsidP="0006495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64954">
        <w:rPr>
          <w:rFonts w:ascii="Times New Roman" w:hAnsi="Times New Roman" w:cs="Times New Roman"/>
          <w:sz w:val="24"/>
          <w:szCs w:val="24"/>
        </w:rPr>
        <w:t xml:space="preserve">-  оплата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працівників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бюджетних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;</w:t>
      </w:r>
    </w:p>
    <w:p w:rsidR="00064954" w:rsidRPr="00064954" w:rsidRDefault="00064954" w:rsidP="0006495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64954"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нарахування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 на  зарплату;   </w:t>
      </w:r>
    </w:p>
    <w:p w:rsidR="00064954" w:rsidRPr="00064954" w:rsidRDefault="00064954" w:rsidP="0006495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64954"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придбання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продуктів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харчування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; </w:t>
      </w:r>
    </w:p>
    <w:p w:rsidR="00E64C83" w:rsidRPr="00064954" w:rsidRDefault="00064954" w:rsidP="0006495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4954"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енергоносії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 для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бюджетних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64954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064954">
        <w:rPr>
          <w:rFonts w:ascii="Times New Roman" w:hAnsi="Times New Roman" w:cs="Times New Roman"/>
          <w:sz w:val="24"/>
          <w:szCs w:val="24"/>
        </w:rPr>
        <w:t>.</w:t>
      </w:r>
    </w:p>
    <w:sectPr w:rsidR="00E64C83" w:rsidRPr="00064954" w:rsidSect="00B46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F13FB7"/>
    <w:multiLevelType w:val="hybridMultilevel"/>
    <w:tmpl w:val="09AA1FBE"/>
    <w:lvl w:ilvl="0" w:tplc="EE0A91F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B2490"/>
    <w:rsid w:val="00010D54"/>
    <w:rsid w:val="00064954"/>
    <w:rsid w:val="000A2516"/>
    <w:rsid w:val="000F1E4D"/>
    <w:rsid w:val="001230D0"/>
    <w:rsid w:val="00127CD8"/>
    <w:rsid w:val="00137A73"/>
    <w:rsid w:val="001445D8"/>
    <w:rsid w:val="00145701"/>
    <w:rsid w:val="0017170A"/>
    <w:rsid w:val="001B2490"/>
    <w:rsid w:val="001C02F5"/>
    <w:rsid w:val="001E6989"/>
    <w:rsid w:val="00204747"/>
    <w:rsid w:val="00226D29"/>
    <w:rsid w:val="00231B14"/>
    <w:rsid w:val="00240FB4"/>
    <w:rsid w:val="002C416E"/>
    <w:rsid w:val="00302A13"/>
    <w:rsid w:val="00370AFA"/>
    <w:rsid w:val="003E7B35"/>
    <w:rsid w:val="0041150D"/>
    <w:rsid w:val="004221C7"/>
    <w:rsid w:val="004657EF"/>
    <w:rsid w:val="004A76D6"/>
    <w:rsid w:val="004C1447"/>
    <w:rsid w:val="004E5127"/>
    <w:rsid w:val="0053397F"/>
    <w:rsid w:val="00546D6A"/>
    <w:rsid w:val="00574EC1"/>
    <w:rsid w:val="00585AEB"/>
    <w:rsid w:val="005B6C2B"/>
    <w:rsid w:val="005C7744"/>
    <w:rsid w:val="00632508"/>
    <w:rsid w:val="00645FD4"/>
    <w:rsid w:val="006755AF"/>
    <w:rsid w:val="006C2F81"/>
    <w:rsid w:val="0072077E"/>
    <w:rsid w:val="007B53B8"/>
    <w:rsid w:val="00807426"/>
    <w:rsid w:val="00851B01"/>
    <w:rsid w:val="008A3332"/>
    <w:rsid w:val="009C2381"/>
    <w:rsid w:val="00B023BB"/>
    <w:rsid w:val="00B46979"/>
    <w:rsid w:val="00B505E1"/>
    <w:rsid w:val="00BC3CF1"/>
    <w:rsid w:val="00C31140"/>
    <w:rsid w:val="00C402AA"/>
    <w:rsid w:val="00D51875"/>
    <w:rsid w:val="00DA08AF"/>
    <w:rsid w:val="00DA6AC1"/>
    <w:rsid w:val="00DA710F"/>
    <w:rsid w:val="00DF7E60"/>
    <w:rsid w:val="00E1144F"/>
    <w:rsid w:val="00E1795B"/>
    <w:rsid w:val="00E64C83"/>
    <w:rsid w:val="00EA4968"/>
    <w:rsid w:val="00F36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979"/>
  </w:style>
  <w:style w:type="paragraph" w:styleId="4">
    <w:name w:val="heading 4"/>
    <w:basedOn w:val="a"/>
    <w:next w:val="a"/>
    <w:link w:val="40"/>
    <w:qFormat/>
    <w:rsid w:val="0006495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1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1E4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46D6A"/>
    <w:pPr>
      <w:ind w:left="720"/>
      <w:contextualSpacing/>
    </w:pPr>
  </w:style>
  <w:style w:type="character" w:customStyle="1" w:styleId="apple-converted-space">
    <w:name w:val="apple-converted-space"/>
    <w:basedOn w:val="a0"/>
    <w:rsid w:val="00546D6A"/>
  </w:style>
  <w:style w:type="character" w:customStyle="1" w:styleId="40">
    <w:name w:val="Заголовок 4 Знак"/>
    <w:basedOn w:val="a0"/>
    <w:link w:val="4"/>
    <w:rsid w:val="00064954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6">
    <w:name w:val="Body Text"/>
    <w:aliases w:val="Знак Знак Знак Знак Знак Знак,Основний текст Знак Знак Знак,Основний текст Знак Знак Знак Знак,Основний текст Знак Знак Знак Знак Знак Знак Знак Знак Знак Знак"/>
    <w:basedOn w:val="a"/>
    <w:link w:val="a7"/>
    <w:rsid w:val="0006495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7">
    <w:name w:val="Основной текст Знак"/>
    <w:aliases w:val="Знак Знак Знак Знак Знак Знак Знак,Основний текст Знак Знак Знак Знак1,Основний текст Знак Знак Знак Знак Знак,Основний текст Знак Знак Знак Знак Знак Знак Знак Знак Знак Знак Знак"/>
    <w:basedOn w:val="a0"/>
    <w:link w:val="a6"/>
    <w:rsid w:val="0006495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8">
    <w:name w:val="Стиль"/>
    <w:rsid w:val="000649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Нормальний текст"/>
    <w:basedOn w:val="a"/>
    <w:rsid w:val="00064954"/>
    <w:pPr>
      <w:spacing w:before="120" w:after="0" w:line="240" w:lineRule="auto"/>
      <w:ind w:firstLine="567"/>
      <w:jc w:val="both"/>
    </w:pPr>
    <w:rPr>
      <w:rFonts w:ascii="Antiqua" w:eastAsia="Times New Roman" w:hAnsi="Antiqua" w:cs="Antiqua"/>
      <w:sz w:val="26"/>
      <w:szCs w:val="2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3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6</Pages>
  <Words>2421</Words>
  <Characters>13802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15</cp:revision>
  <dcterms:created xsi:type="dcterms:W3CDTF">2014-12-31T07:14:00Z</dcterms:created>
  <dcterms:modified xsi:type="dcterms:W3CDTF">2015-01-05T07:58:00Z</dcterms:modified>
</cp:coreProperties>
</file>